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94" w:rsidRPr="002C3CC4" w:rsidRDefault="00190794" w:rsidP="00190794">
      <w:pPr>
        <w:pBdr>
          <w:top w:val="single" w:sz="4" w:space="1" w:color="auto"/>
          <w:left w:val="single" w:sz="4" w:space="4" w:color="auto"/>
          <w:bottom w:val="single" w:sz="4" w:space="1" w:color="auto"/>
          <w:right w:val="single" w:sz="4" w:space="4" w:color="auto"/>
        </w:pBdr>
        <w:rPr>
          <w:b/>
          <w:color w:val="1F497D" w:themeColor="text2"/>
          <w:sz w:val="22"/>
          <w:u w:val="single"/>
        </w:rPr>
      </w:pPr>
      <w:r w:rsidRPr="002C3CC4">
        <w:rPr>
          <w:b/>
          <w:color w:val="1F497D" w:themeColor="text2"/>
          <w:sz w:val="22"/>
          <w:u w:val="single"/>
        </w:rPr>
        <w:t>Personal Details</w:t>
      </w:r>
    </w:p>
    <w:p w:rsidR="00190794" w:rsidRPr="002C3CC4" w:rsidRDefault="00190794" w:rsidP="00190794">
      <w:pPr>
        <w:pBdr>
          <w:top w:val="single" w:sz="4" w:space="1" w:color="auto"/>
          <w:left w:val="single" w:sz="4" w:space="4" w:color="auto"/>
          <w:bottom w:val="single" w:sz="4" w:space="1" w:color="auto"/>
          <w:right w:val="single" w:sz="4" w:space="4" w:color="auto"/>
        </w:pBdr>
        <w:rPr>
          <w:color w:val="1F497D" w:themeColor="text2"/>
          <w:sz w:val="22"/>
        </w:rPr>
      </w:pPr>
      <w:r w:rsidRPr="002C3CC4">
        <w:rPr>
          <w:b/>
          <w:color w:val="1F497D" w:themeColor="text2"/>
          <w:sz w:val="22"/>
        </w:rPr>
        <w:t>Address:</w:t>
      </w:r>
      <w:r w:rsidRPr="002C3CC4">
        <w:rPr>
          <w:b/>
          <w:color w:val="1F497D" w:themeColor="text2"/>
          <w:sz w:val="22"/>
        </w:rPr>
        <w:tab/>
      </w:r>
      <w:r w:rsidRPr="002C3CC4">
        <w:rPr>
          <w:color w:val="1F497D" w:themeColor="text2"/>
          <w:sz w:val="22"/>
        </w:rPr>
        <w:t>Gresham House,</w:t>
      </w:r>
    </w:p>
    <w:p w:rsidR="00190794" w:rsidRPr="002C3CC4" w:rsidRDefault="00190794" w:rsidP="00190794">
      <w:pPr>
        <w:pBdr>
          <w:top w:val="single" w:sz="4" w:space="1" w:color="auto"/>
          <w:left w:val="single" w:sz="4" w:space="4" w:color="auto"/>
          <w:bottom w:val="single" w:sz="4" w:space="1" w:color="auto"/>
          <w:right w:val="single" w:sz="4" w:space="4" w:color="auto"/>
        </w:pBdr>
        <w:rPr>
          <w:color w:val="1F497D" w:themeColor="text2"/>
          <w:sz w:val="22"/>
        </w:rPr>
      </w:pPr>
      <w:r w:rsidRPr="002C3CC4">
        <w:rPr>
          <w:color w:val="1F497D" w:themeColor="text2"/>
          <w:sz w:val="22"/>
        </w:rPr>
        <w:tab/>
      </w:r>
      <w:r w:rsidRPr="002C3CC4">
        <w:rPr>
          <w:color w:val="1F497D" w:themeColor="text2"/>
          <w:sz w:val="22"/>
        </w:rPr>
        <w:tab/>
      </w:r>
      <w:r w:rsidR="006E3908" w:rsidRPr="002C3CC4">
        <w:rPr>
          <w:color w:val="1F497D" w:themeColor="text2"/>
          <w:sz w:val="22"/>
        </w:rPr>
        <w:t xml:space="preserve">8 </w:t>
      </w:r>
      <w:r w:rsidRPr="002C3CC4">
        <w:rPr>
          <w:color w:val="1F497D" w:themeColor="text2"/>
          <w:sz w:val="22"/>
        </w:rPr>
        <w:t>Lower Plantation</w:t>
      </w:r>
      <w:r w:rsidRPr="002C3CC4">
        <w:rPr>
          <w:color w:val="1F497D" w:themeColor="text2"/>
          <w:sz w:val="22"/>
        </w:rPr>
        <w:tab/>
      </w:r>
      <w:r w:rsidRPr="002C3CC4">
        <w:rPr>
          <w:color w:val="1F497D" w:themeColor="text2"/>
          <w:sz w:val="22"/>
        </w:rPr>
        <w:tab/>
      </w:r>
      <w:r w:rsidRPr="002C3CC4">
        <w:rPr>
          <w:color w:val="1F497D" w:themeColor="text2"/>
          <w:sz w:val="22"/>
        </w:rPr>
        <w:tab/>
      </w:r>
      <w:r w:rsidRPr="002C3CC4">
        <w:rPr>
          <w:b/>
          <w:color w:val="1F497D" w:themeColor="text2"/>
          <w:sz w:val="22"/>
        </w:rPr>
        <w:t>Email</w:t>
      </w:r>
      <w:r w:rsidRPr="002C3CC4">
        <w:rPr>
          <w:color w:val="1F497D" w:themeColor="text2"/>
          <w:sz w:val="22"/>
        </w:rPr>
        <w:t>:</w:t>
      </w:r>
      <w:r w:rsidRPr="002C3CC4">
        <w:rPr>
          <w:color w:val="1F497D" w:themeColor="text2"/>
          <w:sz w:val="22"/>
        </w:rPr>
        <w:tab/>
      </w:r>
      <w:r w:rsidRPr="002C3CC4">
        <w:rPr>
          <w:color w:val="1F497D" w:themeColor="text2"/>
          <w:sz w:val="22"/>
        </w:rPr>
        <w:tab/>
      </w:r>
      <w:r w:rsidR="006E3908" w:rsidRPr="002C3CC4">
        <w:rPr>
          <w:color w:val="1F497D" w:themeColor="text2"/>
          <w:sz w:val="22"/>
        </w:rPr>
        <w:t>Elesh@btinternet.com</w:t>
      </w:r>
    </w:p>
    <w:p w:rsidR="00190794" w:rsidRPr="002C3CC4" w:rsidRDefault="00190794" w:rsidP="00190794">
      <w:pPr>
        <w:pBdr>
          <w:top w:val="single" w:sz="4" w:space="1" w:color="auto"/>
          <w:left w:val="single" w:sz="4" w:space="4" w:color="auto"/>
          <w:bottom w:val="single" w:sz="4" w:space="1" w:color="auto"/>
          <w:right w:val="single" w:sz="4" w:space="4" w:color="auto"/>
        </w:pBdr>
        <w:rPr>
          <w:color w:val="1F497D" w:themeColor="text2"/>
          <w:sz w:val="22"/>
        </w:rPr>
      </w:pPr>
      <w:r w:rsidRPr="002C3CC4">
        <w:rPr>
          <w:color w:val="1F497D" w:themeColor="text2"/>
          <w:sz w:val="22"/>
        </w:rPr>
        <w:tab/>
      </w:r>
      <w:r w:rsidRPr="002C3CC4">
        <w:rPr>
          <w:color w:val="1F497D" w:themeColor="text2"/>
          <w:sz w:val="22"/>
        </w:rPr>
        <w:tab/>
        <w:t>Loudwater</w:t>
      </w:r>
      <w:r w:rsidRPr="002C3CC4">
        <w:rPr>
          <w:color w:val="1F497D" w:themeColor="text2"/>
          <w:sz w:val="22"/>
        </w:rPr>
        <w:tab/>
      </w:r>
      <w:r w:rsidRPr="002C3CC4">
        <w:rPr>
          <w:color w:val="1F497D" w:themeColor="text2"/>
          <w:sz w:val="22"/>
        </w:rPr>
        <w:tab/>
      </w:r>
      <w:r w:rsidRPr="002C3CC4">
        <w:rPr>
          <w:color w:val="1F497D" w:themeColor="text2"/>
          <w:sz w:val="22"/>
        </w:rPr>
        <w:tab/>
      </w:r>
      <w:r w:rsidRPr="002C3CC4">
        <w:rPr>
          <w:color w:val="1F497D" w:themeColor="text2"/>
          <w:sz w:val="22"/>
        </w:rPr>
        <w:tab/>
      </w:r>
      <w:r w:rsidRPr="002C3CC4">
        <w:rPr>
          <w:b/>
          <w:color w:val="1F497D" w:themeColor="text2"/>
          <w:sz w:val="22"/>
        </w:rPr>
        <w:t>Telephone:</w:t>
      </w:r>
      <w:r w:rsidRPr="002C3CC4">
        <w:rPr>
          <w:b/>
          <w:color w:val="1F497D" w:themeColor="text2"/>
          <w:sz w:val="22"/>
        </w:rPr>
        <w:tab/>
      </w:r>
      <w:r w:rsidRPr="002C3CC4">
        <w:rPr>
          <w:color w:val="1F497D" w:themeColor="text2"/>
          <w:sz w:val="22"/>
        </w:rPr>
        <w:t>07900 680347</w:t>
      </w:r>
    </w:p>
    <w:p w:rsidR="00190794" w:rsidRPr="002C3CC4" w:rsidRDefault="00190794" w:rsidP="00190794">
      <w:pPr>
        <w:pBdr>
          <w:top w:val="single" w:sz="4" w:space="1" w:color="auto"/>
          <w:left w:val="single" w:sz="4" w:space="4" w:color="auto"/>
          <w:bottom w:val="single" w:sz="4" w:space="1" w:color="auto"/>
          <w:right w:val="single" w:sz="4" w:space="4" w:color="auto"/>
        </w:pBdr>
        <w:rPr>
          <w:color w:val="1F497D" w:themeColor="text2"/>
          <w:sz w:val="22"/>
        </w:rPr>
      </w:pPr>
      <w:r w:rsidRPr="002C3CC4">
        <w:rPr>
          <w:color w:val="1F497D" w:themeColor="text2"/>
          <w:sz w:val="22"/>
        </w:rPr>
        <w:tab/>
      </w:r>
      <w:r w:rsidRPr="002C3CC4">
        <w:rPr>
          <w:color w:val="1F497D" w:themeColor="text2"/>
          <w:sz w:val="22"/>
        </w:rPr>
        <w:tab/>
        <w:t>Rickmansworth</w:t>
      </w:r>
      <w:r w:rsidRPr="002C3CC4">
        <w:rPr>
          <w:color w:val="1F497D" w:themeColor="text2"/>
          <w:sz w:val="22"/>
        </w:rPr>
        <w:tab/>
      </w:r>
      <w:r w:rsidRPr="002C3CC4">
        <w:rPr>
          <w:color w:val="1F497D" w:themeColor="text2"/>
          <w:sz w:val="22"/>
        </w:rPr>
        <w:tab/>
      </w:r>
      <w:r w:rsidRPr="002C3CC4">
        <w:rPr>
          <w:color w:val="1F497D" w:themeColor="text2"/>
          <w:sz w:val="22"/>
        </w:rPr>
        <w:tab/>
      </w:r>
    </w:p>
    <w:p w:rsidR="00520389" w:rsidRPr="002C3CC4" w:rsidRDefault="00190794" w:rsidP="001E272B">
      <w:pPr>
        <w:pBdr>
          <w:top w:val="single" w:sz="4" w:space="1" w:color="auto"/>
          <w:left w:val="single" w:sz="4" w:space="4" w:color="auto"/>
          <w:bottom w:val="single" w:sz="4" w:space="1" w:color="auto"/>
          <w:right w:val="single" w:sz="4" w:space="4" w:color="auto"/>
        </w:pBdr>
        <w:rPr>
          <w:rStyle w:val="copy1"/>
          <w:rFonts w:cs="Times New Roman"/>
          <w:b/>
          <w:color w:val="1F497D" w:themeColor="text2"/>
          <w:sz w:val="22"/>
          <w:szCs w:val="20"/>
        </w:rPr>
      </w:pPr>
      <w:r w:rsidRPr="002C3CC4">
        <w:rPr>
          <w:color w:val="1F497D" w:themeColor="text2"/>
          <w:sz w:val="22"/>
        </w:rPr>
        <w:tab/>
      </w:r>
      <w:r w:rsidRPr="002C3CC4">
        <w:rPr>
          <w:color w:val="1F497D" w:themeColor="text2"/>
          <w:sz w:val="22"/>
        </w:rPr>
        <w:tab/>
        <w:t>Hertfordshire, WD3 4PQ</w:t>
      </w:r>
    </w:p>
    <w:p w:rsidR="008F2374" w:rsidRPr="002C3CC4" w:rsidRDefault="008F2374" w:rsidP="008F2374">
      <w:pPr>
        <w:rPr>
          <w:rFonts w:cs="Arial"/>
          <w:b/>
          <w:color w:val="1F497D" w:themeColor="text2"/>
          <w:sz w:val="24"/>
          <w:szCs w:val="22"/>
        </w:rPr>
      </w:pPr>
      <w:bookmarkStart w:id="0" w:name="OLE_LINK3"/>
    </w:p>
    <w:p w:rsidR="008F2374" w:rsidRPr="002C3CC4" w:rsidRDefault="008F2374" w:rsidP="008F2374">
      <w:pPr>
        <w:rPr>
          <w:color w:val="1F497D" w:themeColor="text2"/>
          <w:sz w:val="18"/>
        </w:rPr>
      </w:pPr>
      <w:r w:rsidRPr="002C3CC4">
        <w:rPr>
          <w:rFonts w:cs="Arial"/>
          <w:b/>
          <w:color w:val="1F497D" w:themeColor="text2"/>
          <w:sz w:val="24"/>
          <w:szCs w:val="22"/>
        </w:rPr>
        <w:t>Overview:</w:t>
      </w:r>
      <w:r w:rsidR="00D2011A" w:rsidRPr="002C3CC4">
        <w:rPr>
          <w:rFonts w:cs="Arial"/>
          <w:b/>
          <w:color w:val="1F497D" w:themeColor="text2"/>
          <w:sz w:val="24"/>
          <w:szCs w:val="22"/>
        </w:rPr>
        <w:t xml:space="preserve"> </w:t>
      </w:r>
      <w:r w:rsidR="00D2011A" w:rsidRPr="002C3CC4">
        <w:rPr>
          <w:rFonts w:cs="Arial"/>
          <w:color w:val="1F497D" w:themeColor="text2"/>
          <w:sz w:val="22"/>
          <w:szCs w:val="22"/>
        </w:rPr>
        <w:t>Executive with significant experience in</w:t>
      </w:r>
      <w:r w:rsidR="00DC4C36" w:rsidRPr="002C3CC4">
        <w:rPr>
          <w:rFonts w:cs="Arial"/>
          <w:color w:val="1F497D" w:themeColor="text2"/>
          <w:sz w:val="22"/>
          <w:szCs w:val="22"/>
        </w:rPr>
        <w:t xml:space="preserve"> Outsourcing Advisory, business transformation and IT Leadership</w:t>
      </w:r>
    </w:p>
    <w:p w:rsidR="00BF484A" w:rsidRPr="002C3CC4" w:rsidRDefault="006E3908" w:rsidP="00455CAA">
      <w:pPr>
        <w:pStyle w:val="NormalWeb"/>
        <w:ind w:right="-469"/>
        <w:rPr>
          <w:rFonts w:ascii="Arial" w:hAnsi="Arial" w:cs="Arial"/>
          <w:color w:val="1F497D" w:themeColor="text2"/>
          <w:sz w:val="22"/>
          <w:szCs w:val="22"/>
        </w:rPr>
      </w:pPr>
      <w:r w:rsidRPr="002C3CC4">
        <w:rPr>
          <w:rFonts w:ascii="Arial" w:hAnsi="Arial" w:cs="Arial"/>
          <w:noProof/>
          <w:color w:val="1F497D" w:themeColor="text2"/>
          <w:sz w:val="22"/>
          <w:szCs w:val="22"/>
          <w:lang w:val="en-GB" w:eastAsia="en-GB"/>
        </w:rPr>
        <w:drawing>
          <wp:anchor distT="0" distB="0" distL="114300" distR="114300" simplePos="0" relativeHeight="251658240" behindDoc="0" locked="0" layoutInCell="1" allowOverlap="1" wp14:anchorId="07AE9A92" wp14:editId="506C8D42">
            <wp:simplePos x="0" y="0"/>
            <wp:positionH relativeFrom="column">
              <wp:posOffset>-57150</wp:posOffset>
            </wp:positionH>
            <wp:positionV relativeFrom="paragraph">
              <wp:posOffset>254000</wp:posOffset>
            </wp:positionV>
            <wp:extent cx="781050" cy="939800"/>
            <wp:effectExtent l="0" t="0" r="0" b="0"/>
            <wp:wrapSquare wrapText="bothSides"/>
            <wp:docPr id="1" name="Picture 1" descr="C:\Users\khakhar\Documents\Personal\mai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khar\Documents\Personal\main 201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74" r="7093"/>
                    <a:stretch/>
                  </pic:blipFill>
                  <pic:spPr bwMode="auto">
                    <a:xfrm>
                      <a:off x="0" y="0"/>
                      <a:ext cx="781050"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9DF" w:rsidRPr="002C3CC4">
        <w:rPr>
          <w:rFonts w:ascii="Arial" w:hAnsi="Arial" w:cs="Arial"/>
          <w:color w:val="1F497D" w:themeColor="text2"/>
          <w:sz w:val="22"/>
          <w:szCs w:val="22"/>
        </w:rPr>
        <w:t>O</w:t>
      </w:r>
      <w:r w:rsidR="008F2374" w:rsidRPr="002C3CC4">
        <w:rPr>
          <w:rFonts w:ascii="Arial" w:hAnsi="Arial" w:cs="Arial"/>
          <w:color w:val="1F497D" w:themeColor="text2"/>
          <w:sz w:val="22"/>
          <w:szCs w:val="22"/>
        </w:rPr>
        <w:t xml:space="preserve">ver 30 </w:t>
      </w:r>
      <w:r w:rsidR="00891B78" w:rsidRPr="002C3CC4">
        <w:rPr>
          <w:rFonts w:ascii="Arial" w:hAnsi="Arial" w:cs="Arial"/>
          <w:color w:val="1F497D" w:themeColor="text2"/>
          <w:sz w:val="22"/>
          <w:szCs w:val="22"/>
        </w:rPr>
        <w:t>years’ experience</w:t>
      </w:r>
      <w:r w:rsidR="00BF484A" w:rsidRPr="002C3CC4">
        <w:rPr>
          <w:rFonts w:ascii="Arial" w:hAnsi="Arial" w:cs="Arial"/>
          <w:color w:val="1F497D" w:themeColor="text2"/>
          <w:sz w:val="22"/>
          <w:szCs w:val="22"/>
        </w:rPr>
        <w:t xml:space="preserve"> </w:t>
      </w:r>
      <w:r w:rsidR="00477DFE" w:rsidRPr="002C3CC4">
        <w:rPr>
          <w:rFonts w:ascii="Arial" w:hAnsi="Arial" w:cs="Arial"/>
          <w:color w:val="1F497D" w:themeColor="text2"/>
          <w:sz w:val="22"/>
          <w:szCs w:val="22"/>
        </w:rPr>
        <w:t>in</w:t>
      </w:r>
      <w:r w:rsidR="003162EE" w:rsidRPr="002C3CC4">
        <w:rPr>
          <w:rFonts w:ascii="Arial" w:hAnsi="Arial" w:cs="Arial"/>
          <w:color w:val="1F497D" w:themeColor="text2"/>
          <w:sz w:val="22"/>
          <w:szCs w:val="22"/>
        </w:rPr>
        <w:t xml:space="preserve"> IT </w:t>
      </w:r>
      <w:r w:rsidR="00477DFE" w:rsidRPr="002C3CC4">
        <w:rPr>
          <w:rFonts w:ascii="Arial" w:hAnsi="Arial" w:cs="Arial"/>
          <w:color w:val="1F497D" w:themeColor="text2"/>
          <w:sz w:val="22"/>
          <w:szCs w:val="22"/>
        </w:rPr>
        <w:t>leadership</w:t>
      </w:r>
      <w:r w:rsidR="00891B78" w:rsidRPr="002C3CC4">
        <w:rPr>
          <w:rFonts w:ascii="Arial" w:hAnsi="Arial" w:cs="Arial"/>
          <w:color w:val="1F497D" w:themeColor="text2"/>
          <w:sz w:val="22"/>
          <w:szCs w:val="22"/>
        </w:rPr>
        <w:t xml:space="preserve"> and </w:t>
      </w:r>
      <w:r w:rsidR="002059DF" w:rsidRPr="002C3CC4">
        <w:rPr>
          <w:rFonts w:ascii="Arial" w:hAnsi="Arial" w:cs="Arial"/>
          <w:color w:val="1F497D" w:themeColor="text2"/>
          <w:sz w:val="22"/>
          <w:szCs w:val="22"/>
        </w:rPr>
        <w:t>outsourcing A</w:t>
      </w:r>
      <w:r w:rsidR="00891B78" w:rsidRPr="002C3CC4">
        <w:rPr>
          <w:rFonts w:ascii="Arial" w:hAnsi="Arial" w:cs="Arial"/>
          <w:color w:val="1F497D" w:themeColor="text2"/>
          <w:sz w:val="22"/>
          <w:szCs w:val="22"/>
        </w:rPr>
        <w:t>dvisory</w:t>
      </w:r>
      <w:r w:rsidR="00477DFE" w:rsidRPr="002C3CC4">
        <w:rPr>
          <w:rFonts w:ascii="Arial" w:hAnsi="Arial" w:cs="Arial"/>
          <w:color w:val="1F497D" w:themeColor="text2"/>
          <w:sz w:val="22"/>
          <w:szCs w:val="22"/>
        </w:rPr>
        <w:t xml:space="preserve"> roles including  </w:t>
      </w:r>
      <w:r w:rsidR="00891B78" w:rsidRPr="002C3CC4">
        <w:rPr>
          <w:rFonts w:ascii="Arial" w:hAnsi="Arial" w:cs="Arial"/>
          <w:color w:val="1F497D" w:themeColor="text2"/>
          <w:sz w:val="22"/>
          <w:szCs w:val="22"/>
        </w:rPr>
        <w:t xml:space="preserve">IT Service Delivery, </w:t>
      </w:r>
      <w:r w:rsidR="00477DFE" w:rsidRPr="002C3CC4">
        <w:rPr>
          <w:rFonts w:ascii="Arial" w:hAnsi="Arial" w:cs="Arial"/>
          <w:color w:val="1F497D" w:themeColor="text2"/>
          <w:sz w:val="22"/>
          <w:szCs w:val="22"/>
        </w:rPr>
        <w:t>Strategic sourcing, IT</w:t>
      </w:r>
      <w:r w:rsidR="00DC4C36" w:rsidRPr="002C3CC4">
        <w:rPr>
          <w:rFonts w:ascii="Arial" w:hAnsi="Arial" w:cs="Arial"/>
          <w:color w:val="1F497D" w:themeColor="text2"/>
          <w:sz w:val="22"/>
          <w:szCs w:val="22"/>
        </w:rPr>
        <w:t>/Sourcing</w:t>
      </w:r>
      <w:r w:rsidR="00477DFE" w:rsidRPr="002C3CC4">
        <w:rPr>
          <w:rFonts w:ascii="Arial" w:hAnsi="Arial" w:cs="Arial"/>
          <w:color w:val="1F497D" w:themeColor="text2"/>
          <w:sz w:val="22"/>
          <w:szCs w:val="22"/>
        </w:rPr>
        <w:t xml:space="preserve"> Strategy, Business transformation, Business and IT Co</w:t>
      </w:r>
      <w:r w:rsidR="00DC4C36" w:rsidRPr="002C3CC4">
        <w:rPr>
          <w:rFonts w:ascii="Arial" w:hAnsi="Arial" w:cs="Arial"/>
          <w:color w:val="1F497D" w:themeColor="text2"/>
          <w:sz w:val="22"/>
          <w:szCs w:val="22"/>
        </w:rPr>
        <w:t>nsulting, Contract negotiations and</w:t>
      </w:r>
      <w:r w:rsidR="00477DFE" w:rsidRPr="002C3CC4">
        <w:rPr>
          <w:rFonts w:ascii="Arial" w:hAnsi="Arial" w:cs="Arial"/>
          <w:color w:val="1F497D" w:themeColor="text2"/>
          <w:sz w:val="22"/>
          <w:szCs w:val="22"/>
        </w:rPr>
        <w:t xml:space="preserve"> major Programs Management and </w:t>
      </w:r>
      <w:r w:rsidR="00BE5B34" w:rsidRPr="002C3CC4">
        <w:rPr>
          <w:rFonts w:ascii="Arial" w:hAnsi="Arial" w:cs="Arial"/>
          <w:color w:val="1F497D" w:themeColor="text2"/>
          <w:sz w:val="22"/>
          <w:szCs w:val="22"/>
        </w:rPr>
        <w:t>for large complex Fortune</w:t>
      </w:r>
      <w:r w:rsidR="00D2011A" w:rsidRPr="002C3CC4">
        <w:rPr>
          <w:rFonts w:ascii="Arial" w:hAnsi="Arial" w:cs="Arial"/>
          <w:color w:val="1F497D" w:themeColor="text2"/>
          <w:sz w:val="22"/>
          <w:szCs w:val="22"/>
        </w:rPr>
        <w:t xml:space="preserve"> 500</w:t>
      </w:r>
      <w:r w:rsidR="00477DFE" w:rsidRPr="002C3CC4">
        <w:rPr>
          <w:rFonts w:ascii="Arial" w:hAnsi="Arial" w:cs="Arial"/>
          <w:color w:val="1F497D" w:themeColor="text2"/>
          <w:sz w:val="22"/>
          <w:szCs w:val="22"/>
        </w:rPr>
        <w:t xml:space="preserve"> companies in Financial services, Energy, Retail, CPG and </w:t>
      </w:r>
      <w:r w:rsidR="00D2011A" w:rsidRPr="002C3CC4">
        <w:rPr>
          <w:rFonts w:ascii="Arial" w:hAnsi="Arial" w:cs="Arial"/>
          <w:color w:val="1F497D" w:themeColor="text2"/>
          <w:sz w:val="22"/>
          <w:szCs w:val="22"/>
        </w:rPr>
        <w:t>Defense</w:t>
      </w:r>
      <w:r w:rsidR="00477DFE" w:rsidRPr="002C3CC4">
        <w:rPr>
          <w:rFonts w:ascii="Arial" w:hAnsi="Arial" w:cs="Arial"/>
          <w:color w:val="1F497D" w:themeColor="text2"/>
          <w:sz w:val="22"/>
          <w:szCs w:val="22"/>
        </w:rPr>
        <w:t xml:space="preserve">. </w:t>
      </w:r>
      <w:r w:rsidR="00455CAA" w:rsidRPr="002C3CC4">
        <w:rPr>
          <w:rFonts w:ascii="Arial" w:hAnsi="Arial" w:cs="Arial"/>
          <w:color w:val="1F497D" w:themeColor="text2"/>
          <w:sz w:val="22"/>
          <w:szCs w:val="22"/>
        </w:rPr>
        <w:t xml:space="preserve">In recent years I have typically worked on large scale, multi-billion dollar sourcing </w:t>
      </w:r>
      <w:r w:rsidR="00D2011A" w:rsidRPr="002C3CC4">
        <w:rPr>
          <w:rFonts w:ascii="Arial" w:hAnsi="Arial" w:cs="Arial"/>
          <w:color w:val="1F497D" w:themeColor="text2"/>
          <w:sz w:val="22"/>
          <w:szCs w:val="22"/>
        </w:rPr>
        <w:t>programs</w:t>
      </w:r>
      <w:r w:rsidR="00455CAA" w:rsidRPr="002C3CC4">
        <w:rPr>
          <w:rFonts w:ascii="Arial" w:hAnsi="Arial" w:cs="Arial"/>
          <w:color w:val="1F497D" w:themeColor="text2"/>
          <w:sz w:val="22"/>
          <w:szCs w:val="22"/>
        </w:rPr>
        <w:t xml:space="preserve"> that have required effective teamwork, creativity and the </w:t>
      </w:r>
      <w:r w:rsidR="002F4DBF" w:rsidRPr="002C3CC4">
        <w:rPr>
          <w:rFonts w:ascii="Arial" w:hAnsi="Arial" w:cs="Arial"/>
          <w:color w:val="1F497D" w:themeColor="text2"/>
          <w:sz w:val="22"/>
          <w:szCs w:val="22"/>
        </w:rPr>
        <w:t>leadership</w:t>
      </w:r>
      <w:r w:rsidR="00455CAA" w:rsidRPr="002C3CC4">
        <w:rPr>
          <w:rFonts w:ascii="Arial" w:hAnsi="Arial" w:cs="Arial"/>
          <w:color w:val="1F497D" w:themeColor="text2"/>
          <w:sz w:val="22"/>
          <w:szCs w:val="22"/>
        </w:rPr>
        <w:t xml:space="preserve"> to provide drive and </w:t>
      </w:r>
      <w:r w:rsidR="002F4DBF" w:rsidRPr="002C3CC4">
        <w:rPr>
          <w:rFonts w:ascii="Arial" w:hAnsi="Arial" w:cs="Arial"/>
          <w:color w:val="1F497D" w:themeColor="text2"/>
          <w:sz w:val="22"/>
          <w:szCs w:val="22"/>
        </w:rPr>
        <w:t>commitment</w:t>
      </w:r>
      <w:r w:rsidR="00455CAA" w:rsidRPr="002C3CC4">
        <w:rPr>
          <w:rFonts w:ascii="Arial" w:hAnsi="Arial" w:cs="Arial"/>
          <w:color w:val="1F497D" w:themeColor="text2"/>
          <w:sz w:val="22"/>
          <w:szCs w:val="22"/>
        </w:rPr>
        <w:t xml:space="preserve"> in delivering </w:t>
      </w:r>
      <w:r w:rsidR="00D2011A" w:rsidRPr="002C3CC4">
        <w:rPr>
          <w:rFonts w:ascii="Arial" w:hAnsi="Arial" w:cs="Arial"/>
          <w:color w:val="1F497D" w:themeColor="text2"/>
          <w:sz w:val="22"/>
          <w:szCs w:val="22"/>
        </w:rPr>
        <w:t>challenging</w:t>
      </w:r>
      <w:r w:rsidR="00DC4C36" w:rsidRPr="002C3CC4">
        <w:rPr>
          <w:rFonts w:ascii="Arial" w:hAnsi="Arial" w:cs="Arial"/>
          <w:color w:val="1F497D" w:themeColor="text2"/>
          <w:sz w:val="22"/>
          <w:szCs w:val="22"/>
        </w:rPr>
        <w:t xml:space="preserve"> </w:t>
      </w:r>
      <w:r w:rsidR="00455CAA" w:rsidRPr="002C3CC4">
        <w:rPr>
          <w:rFonts w:ascii="Arial" w:hAnsi="Arial" w:cs="Arial"/>
          <w:color w:val="1F497D" w:themeColor="text2"/>
          <w:sz w:val="22"/>
          <w:szCs w:val="22"/>
        </w:rPr>
        <w:t>business objectives for some of the largest companies in EMEA.</w:t>
      </w:r>
    </w:p>
    <w:p w:rsidR="008F2374" w:rsidRPr="002C3CC4" w:rsidRDefault="00D2011A" w:rsidP="00E56BED">
      <w:pPr>
        <w:pStyle w:val="NormalWeb"/>
        <w:rPr>
          <w:rStyle w:val="copy1"/>
          <w:rFonts w:ascii="Microsoft Sans Serif" w:hAnsi="Microsoft Sans Serif" w:cs="Microsoft Sans Serif"/>
          <w:b/>
          <w:color w:val="1F497D" w:themeColor="text2"/>
          <w:sz w:val="24"/>
          <w:szCs w:val="20"/>
        </w:rPr>
      </w:pPr>
      <w:r w:rsidRPr="002C3CC4">
        <w:rPr>
          <w:rFonts w:ascii="Microsoft Sans Serif" w:hAnsi="Microsoft Sans Serif" w:cs="Microsoft Sans Serif"/>
          <w:b/>
          <w:noProof/>
          <w:color w:val="1F497D" w:themeColor="text2"/>
          <w:szCs w:val="20"/>
          <w:lang w:val="en-GB" w:eastAsia="en-GB"/>
        </w:rPr>
        <mc:AlternateContent>
          <mc:Choice Requires="wps">
            <w:drawing>
              <wp:anchor distT="0" distB="0" distL="114300" distR="114300" simplePos="0" relativeHeight="251660288" behindDoc="0" locked="0" layoutInCell="0" allowOverlap="1" wp14:anchorId="6F73FBFC" wp14:editId="4F96D8AC">
                <wp:simplePos x="0" y="0"/>
                <wp:positionH relativeFrom="column">
                  <wp:posOffset>0</wp:posOffset>
                </wp:positionH>
                <wp:positionV relativeFrom="paragraph">
                  <wp:posOffset>0</wp:posOffset>
                </wp:positionV>
                <wp:extent cx="6203950" cy="1403985"/>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403985"/>
                        </a:xfrm>
                        <a:prstGeom prst="rect">
                          <a:avLst/>
                        </a:prstGeom>
                        <a:solidFill>
                          <a:srgbClr val="FFFFFF"/>
                        </a:solidFill>
                        <a:ln w="9525">
                          <a:solidFill>
                            <a:srgbClr val="000000"/>
                          </a:solidFill>
                          <a:miter lim="800000"/>
                          <a:headEnd/>
                          <a:tailEnd/>
                        </a:ln>
                      </wps:spPr>
                      <wps:txbx>
                        <w:txbxContent>
                          <w:p w:rsidR="00D2011A" w:rsidRPr="002C3CC4" w:rsidRDefault="00D2011A" w:rsidP="00650730">
                            <w:pPr>
                              <w:shd w:val="clear" w:color="auto" w:fill="D9D9D9" w:themeFill="background1" w:themeFillShade="D9"/>
                              <w:rPr>
                                <w:b/>
                                <w:color w:val="1F497D" w:themeColor="text2"/>
                              </w:rPr>
                            </w:pPr>
                            <w:r w:rsidRPr="002C3CC4">
                              <w:rPr>
                                <w:b/>
                                <w:color w:val="1F497D" w:themeColor="text2"/>
                              </w:rPr>
                              <w:t>Summary:</w:t>
                            </w:r>
                          </w:p>
                          <w:p w:rsidR="00D2011A" w:rsidRPr="002C3CC4" w:rsidRDefault="00D2011A" w:rsidP="00650730">
                            <w:pPr>
                              <w:shd w:val="clear" w:color="auto" w:fill="D9D9D9" w:themeFill="background1" w:themeFillShade="D9"/>
                              <w:rPr>
                                <w:color w:val="1F497D" w:themeColor="text2"/>
                              </w:rPr>
                            </w:pP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Hewlett-Packard Company – Director, Strateg</w:t>
                            </w:r>
                            <w:r w:rsidR="0037283A">
                              <w:rPr>
                                <w:color w:val="1F497D" w:themeColor="text2"/>
                              </w:rPr>
                              <w:t>ic Business Development</w:t>
                            </w:r>
                            <w:r w:rsidR="0037283A">
                              <w:rPr>
                                <w:color w:val="1F497D" w:themeColor="text2"/>
                              </w:rPr>
                              <w:tab/>
                            </w:r>
                            <w:r w:rsidR="0037283A">
                              <w:rPr>
                                <w:color w:val="1F497D" w:themeColor="text2"/>
                              </w:rPr>
                              <w:tab/>
                              <w:t>2010 - 2015</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TPI - Partner, EMEA CIO Services &amp; Strategic Deals</w:t>
                            </w:r>
                            <w:r w:rsidRPr="002C3CC4">
                              <w:rPr>
                                <w:color w:val="1F497D" w:themeColor="text2"/>
                              </w:rPr>
                              <w:tab/>
                            </w:r>
                            <w:r w:rsidRPr="002C3CC4">
                              <w:rPr>
                                <w:color w:val="1F497D" w:themeColor="text2"/>
                              </w:rPr>
                              <w:tab/>
                            </w:r>
                            <w:r w:rsidRPr="002C3CC4">
                              <w:rPr>
                                <w:color w:val="1F497D" w:themeColor="text2"/>
                              </w:rPr>
                              <w:tab/>
                            </w:r>
                            <w:r w:rsidRPr="002C3CC4">
                              <w:rPr>
                                <w:color w:val="1F497D" w:themeColor="text2"/>
                              </w:rPr>
                              <w:tab/>
                              <w:t>2001 - 2010</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 xml:space="preserve">Halifax Group Treasury &amp; Wholesale Banking - Head of </w:t>
                            </w:r>
                            <w:r w:rsidR="0037283A">
                              <w:rPr>
                                <w:color w:val="1F497D" w:themeColor="text2"/>
                              </w:rPr>
                              <w:t>Infrastructure</w:t>
                            </w:r>
                            <w:r w:rsidR="0037283A">
                              <w:rPr>
                                <w:color w:val="1F497D" w:themeColor="text2"/>
                              </w:rPr>
                              <w:tab/>
                            </w:r>
                            <w:r w:rsidR="0037283A">
                              <w:rPr>
                                <w:color w:val="1F497D" w:themeColor="text2"/>
                              </w:rPr>
                              <w:tab/>
                              <w:t xml:space="preserve">1999 - </w:t>
                            </w:r>
                            <w:r w:rsidRPr="002C3CC4">
                              <w:rPr>
                                <w:color w:val="1F497D" w:themeColor="text2"/>
                              </w:rPr>
                              <w:t>2001</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JP Morgan (including CSC) - VP, Tec</w:t>
                            </w:r>
                            <w:r w:rsidR="0037283A">
                              <w:rPr>
                                <w:color w:val="1F497D" w:themeColor="text2"/>
                              </w:rPr>
                              <w:t>hnology (Fixed Income)</w:t>
                            </w:r>
                            <w:r w:rsidR="0037283A">
                              <w:rPr>
                                <w:color w:val="1F497D" w:themeColor="text2"/>
                              </w:rPr>
                              <w:tab/>
                            </w:r>
                            <w:r w:rsidR="0037283A">
                              <w:rPr>
                                <w:color w:val="1F497D" w:themeColor="text2"/>
                              </w:rPr>
                              <w:tab/>
                            </w:r>
                            <w:r w:rsidR="0037283A">
                              <w:rPr>
                                <w:color w:val="1F497D" w:themeColor="text2"/>
                              </w:rPr>
                              <w:tab/>
                              <w:t xml:space="preserve">1994 - </w:t>
                            </w:r>
                            <w:r w:rsidRPr="002C3CC4">
                              <w:rPr>
                                <w:color w:val="1F497D" w:themeColor="text2"/>
                              </w:rPr>
                              <w:t>1999</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Sun Microsystems Ltd - European H</w:t>
                            </w:r>
                            <w:r w:rsidR="0037283A">
                              <w:rPr>
                                <w:color w:val="1F497D" w:themeColor="text2"/>
                              </w:rPr>
                              <w:t>ead of Infrastructure</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1987 - </w:t>
                            </w:r>
                            <w:r w:rsidRPr="002C3CC4">
                              <w:rPr>
                                <w:color w:val="1F497D" w:themeColor="text2"/>
                              </w:rPr>
                              <w:t>1994</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Tullet &amp; Tokyo Forex L</w:t>
                            </w:r>
                            <w:r w:rsidR="0037283A">
                              <w:rPr>
                                <w:color w:val="1F497D" w:themeColor="text2"/>
                              </w:rPr>
                              <w:t>td - Support Manager</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1986 - </w:t>
                            </w:r>
                            <w:r w:rsidRPr="002C3CC4">
                              <w:rPr>
                                <w:color w:val="1F497D" w:themeColor="text2"/>
                              </w:rPr>
                              <w:t>1987</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Comshare UK Ltd  - Technical</w:t>
                            </w:r>
                            <w:r w:rsidR="0037283A">
                              <w:rPr>
                                <w:color w:val="1F497D" w:themeColor="text2"/>
                              </w:rPr>
                              <w:t xml:space="preserve"> Specialist</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1979 - </w:t>
                            </w:r>
                            <w:r w:rsidRPr="002C3CC4">
                              <w:rPr>
                                <w:color w:val="1F497D" w:themeColor="text2"/>
                              </w:rPr>
                              <w:t>1986</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3FBFC" id="_x0000_t202" coordsize="21600,21600" o:spt="202" path="m,l,21600r21600,l21600,xe">
                <v:stroke joinstyle="miter"/>
                <v:path gradientshapeok="t" o:connecttype="rect"/>
              </v:shapetype>
              <v:shape id="Text Box 2" o:spid="_x0000_s1026" type="#_x0000_t202" style="position:absolute;margin-left:0;margin-top:0;width:48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" o:allowincell="f">
                <v:textbox style="mso-fit-shape-to-text:t" inset="2mm,2mm,2mm,2mm">
                  <w:txbxContent>
                    <w:p w:rsidR="00D2011A" w:rsidRPr="002C3CC4" w:rsidRDefault="00D2011A" w:rsidP="00650730">
                      <w:pPr>
                        <w:shd w:val="clear" w:color="auto" w:fill="D9D9D9" w:themeFill="background1" w:themeFillShade="D9"/>
                        <w:rPr>
                          <w:b/>
                          <w:color w:val="1F497D" w:themeColor="text2"/>
                        </w:rPr>
                      </w:pPr>
                      <w:r w:rsidRPr="002C3CC4">
                        <w:rPr>
                          <w:b/>
                          <w:color w:val="1F497D" w:themeColor="text2"/>
                        </w:rPr>
                        <w:t>Summary:</w:t>
                      </w:r>
                    </w:p>
                    <w:p w:rsidR="00D2011A" w:rsidRPr="002C3CC4" w:rsidRDefault="00D2011A" w:rsidP="00650730">
                      <w:pPr>
                        <w:shd w:val="clear" w:color="auto" w:fill="D9D9D9" w:themeFill="background1" w:themeFillShade="D9"/>
                        <w:rPr>
                          <w:color w:val="1F497D" w:themeColor="text2"/>
                        </w:rPr>
                      </w:pP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Hewlett-Packard Company – Director, Strateg</w:t>
                      </w:r>
                      <w:r w:rsidR="0037283A">
                        <w:rPr>
                          <w:color w:val="1F497D" w:themeColor="text2"/>
                        </w:rPr>
                        <w:t>ic Business Development</w:t>
                      </w:r>
                      <w:r w:rsidR="0037283A">
                        <w:rPr>
                          <w:color w:val="1F497D" w:themeColor="text2"/>
                        </w:rPr>
                        <w:tab/>
                      </w:r>
                      <w:r w:rsidR="0037283A">
                        <w:rPr>
                          <w:color w:val="1F497D" w:themeColor="text2"/>
                        </w:rPr>
                        <w:tab/>
                        <w:t>2010 - 2015</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TPI - Partner, EMEA CIO Services &amp; Strategic Deals</w:t>
                      </w:r>
                      <w:r w:rsidRPr="002C3CC4">
                        <w:rPr>
                          <w:color w:val="1F497D" w:themeColor="text2"/>
                        </w:rPr>
                        <w:tab/>
                      </w:r>
                      <w:r w:rsidRPr="002C3CC4">
                        <w:rPr>
                          <w:color w:val="1F497D" w:themeColor="text2"/>
                        </w:rPr>
                        <w:tab/>
                      </w:r>
                      <w:r w:rsidRPr="002C3CC4">
                        <w:rPr>
                          <w:color w:val="1F497D" w:themeColor="text2"/>
                        </w:rPr>
                        <w:tab/>
                      </w:r>
                      <w:r w:rsidRPr="002C3CC4">
                        <w:rPr>
                          <w:color w:val="1F497D" w:themeColor="text2"/>
                        </w:rPr>
                        <w:tab/>
                        <w:t>2001 - 2010</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 xml:space="preserve">Halifax Group Treasury &amp; Wholesale Banking - Head of </w:t>
                      </w:r>
                      <w:r w:rsidR="0037283A">
                        <w:rPr>
                          <w:color w:val="1F497D" w:themeColor="text2"/>
                        </w:rPr>
                        <w:t>Infrastructure</w:t>
                      </w:r>
                      <w:r w:rsidR="0037283A">
                        <w:rPr>
                          <w:color w:val="1F497D" w:themeColor="text2"/>
                        </w:rPr>
                        <w:tab/>
                      </w:r>
                      <w:r w:rsidR="0037283A">
                        <w:rPr>
                          <w:color w:val="1F497D" w:themeColor="text2"/>
                        </w:rPr>
                        <w:tab/>
                        <w:t xml:space="preserve">1999 - </w:t>
                      </w:r>
                      <w:r w:rsidRPr="002C3CC4">
                        <w:rPr>
                          <w:color w:val="1F497D" w:themeColor="text2"/>
                        </w:rPr>
                        <w:t>2001</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JP Morgan (including CSC) - VP, Tec</w:t>
                      </w:r>
                      <w:r w:rsidR="0037283A">
                        <w:rPr>
                          <w:color w:val="1F497D" w:themeColor="text2"/>
                        </w:rPr>
                        <w:t>hnology (Fixed Income)</w:t>
                      </w:r>
                      <w:r w:rsidR="0037283A">
                        <w:rPr>
                          <w:color w:val="1F497D" w:themeColor="text2"/>
                        </w:rPr>
                        <w:tab/>
                      </w:r>
                      <w:r w:rsidR="0037283A">
                        <w:rPr>
                          <w:color w:val="1F497D" w:themeColor="text2"/>
                        </w:rPr>
                        <w:tab/>
                      </w:r>
                      <w:r w:rsidR="0037283A">
                        <w:rPr>
                          <w:color w:val="1F497D" w:themeColor="text2"/>
                        </w:rPr>
                        <w:tab/>
                        <w:t xml:space="preserve">1994 - </w:t>
                      </w:r>
                      <w:r w:rsidRPr="002C3CC4">
                        <w:rPr>
                          <w:color w:val="1F497D" w:themeColor="text2"/>
                        </w:rPr>
                        <w:t>1999</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Sun Microsystems Ltd - European H</w:t>
                      </w:r>
                      <w:r w:rsidR="0037283A">
                        <w:rPr>
                          <w:color w:val="1F497D" w:themeColor="text2"/>
                        </w:rPr>
                        <w:t>ead of Infrastructure</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1987 - </w:t>
                      </w:r>
                      <w:r w:rsidRPr="002C3CC4">
                        <w:rPr>
                          <w:color w:val="1F497D" w:themeColor="text2"/>
                        </w:rPr>
                        <w:t>1994</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Tullet &amp; Tokyo Forex L</w:t>
                      </w:r>
                      <w:r w:rsidR="0037283A">
                        <w:rPr>
                          <w:color w:val="1F497D" w:themeColor="text2"/>
                        </w:rPr>
                        <w:t>td - Support Manager</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1986 - </w:t>
                      </w:r>
                      <w:r w:rsidRPr="002C3CC4">
                        <w:rPr>
                          <w:color w:val="1F497D" w:themeColor="text2"/>
                        </w:rPr>
                        <w:t>1987</w:t>
                      </w:r>
                    </w:p>
                    <w:p w:rsidR="00D2011A" w:rsidRPr="002C3CC4" w:rsidRDefault="00D2011A" w:rsidP="00650730">
                      <w:pPr>
                        <w:shd w:val="clear" w:color="auto" w:fill="D9D9D9" w:themeFill="background1" w:themeFillShade="D9"/>
                        <w:spacing w:line="276" w:lineRule="auto"/>
                        <w:rPr>
                          <w:color w:val="1F497D" w:themeColor="text2"/>
                        </w:rPr>
                      </w:pPr>
                      <w:r w:rsidRPr="002C3CC4">
                        <w:rPr>
                          <w:color w:val="1F497D" w:themeColor="text2"/>
                        </w:rPr>
                        <w:t>Comshare UK Ltd  - Technical</w:t>
                      </w:r>
                      <w:r w:rsidR="0037283A">
                        <w:rPr>
                          <w:color w:val="1F497D" w:themeColor="text2"/>
                        </w:rPr>
                        <w:t xml:space="preserve"> Specialist</w:t>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r>
                      <w:r w:rsidR="0037283A">
                        <w:rPr>
                          <w:color w:val="1F497D" w:themeColor="text2"/>
                        </w:rPr>
                        <w:tab/>
                        <w:t xml:space="preserve">1979 - </w:t>
                      </w:r>
                      <w:r w:rsidRPr="002C3CC4">
                        <w:rPr>
                          <w:color w:val="1F497D" w:themeColor="text2"/>
                        </w:rPr>
                        <w:t>1986</w:t>
                      </w:r>
                    </w:p>
                  </w:txbxContent>
                </v:textbox>
              </v:shape>
            </w:pict>
          </mc:Fallback>
        </mc:AlternateContent>
      </w:r>
      <w:r w:rsidR="008F2374" w:rsidRPr="002C3CC4">
        <w:rPr>
          <w:rStyle w:val="copy1"/>
          <w:rFonts w:ascii="Microsoft Sans Serif" w:hAnsi="Microsoft Sans Serif" w:cs="Microsoft Sans Serif"/>
          <w:b/>
          <w:color w:val="1F497D" w:themeColor="text2"/>
          <w:sz w:val="24"/>
          <w:szCs w:val="20"/>
        </w:rPr>
        <w:t>Employment History</w:t>
      </w:r>
    </w:p>
    <w:p w:rsidR="00D2011A" w:rsidRPr="002C3CC4" w:rsidRDefault="00D2011A" w:rsidP="00E56BED">
      <w:pPr>
        <w:pStyle w:val="NormalWeb"/>
        <w:rPr>
          <w:rStyle w:val="copy1"/>
          <w:rFonts w:ascii="Microsoft Sans Serif" w:hAnsi="Microsoft Sans Serif" w:cs="Microsoft Sans Serif"/>
          <w:b/>
          <w:color w:val="1F497D" w:themeColor="text2"/>
          <w:sz w:val="24"/>
          <w:szCs w:val="20"/>
        </w:rPr>
      </w:pPr>
    </w:p>
    <w:p w:rsidR="00D2011A" w:rsidRPr="002C3CC4" w:rsidRDefault="00D2011A" w:rsidP="00E56BED">
      <w:pPr>
        <w:pStyle w:val="NormalWeb"/>
        <w:rPr>
          <w:rStyle w:val="copy1"/>
          <w:rFonts w:ascii="Microsoft Sans Serif" w:hAnsi="Microsoft Sans Serif" w:cs="Microsoft Sans Serif"/>
          <w:b/>
          <w:color w:val="1F497D" w:themeColor="text2"/>
          <w:sz w:val="24"/>
          <w:szCs w:val="20"/>
        </w:rPr>
      </w:pPr>
    </w:p>
    <w:p w:rsidR="00D2011A" w:rsidRPr="002C3CC4" w:rsidRDefault="00D2011A" w:rsidP="00E56BED">
      <w:pPr>
        <w:pStyle w:val="NormalWeb"/>
        <w:rPr>
          <w:rStyle w:val="copy1"/>
          <w:rFonts w:ascii="Microsoft Sans Serif" w:hAnsi="Microsoft Sans Serif" w:cs="Microsoft Sans Serif"/>
          <w:b/>
          <w:color w:val="1F497D" w:themeColor="text2"/>
          <w:sz w:val="24"/>
          <w:szCs w:val="20"/>
        </w:rPr>
      </w:pPr>
    </w:p>
    <w:p w:rsidR="00650730" w:rsidRPr="002C3CC4" w:rsidRDefault="00650730" w:rsidP="001521CA">
      <w:pPr>
        <w:pStyle w:val="NormalWeb"/>
        <w:rPr>
          <w:rStyle w:val="copy1"/>
          <w:rFonts w:ascii="Microsoft Sans Serif" w:hAnsi="Microsoft Sans Serif" w:cs="Microsoft Sans Serif"/>
          <w:b/>
          <w:color w:val="1F497D" w:themeColor="text2"/>
          <w:sz w:val="24"/>
          <w:szCs w:val="20"/>
        </w:rPr>
      </w:pPr>
    </w:p>
    <w:p w:rsidR="001521CA" w:rsidRPr="002C3CC4" w:rsidRDefault="001521CA" w:rsidP="001521CA">
      <w:pPr>
        <w:pStyle w:val="NormalWeb"/>
        <w:rPr>
          <w:rStyle w:val="copy1"/>
          <w:rFonts w:ascii="Microsoft Sans Serif" w:hAnsi="Microsoft Sans Serif" w:cs="Microsoft Sans Serif"/>
          <w:b/>
          <w:color w:val="1F497D" w:themeColor="text2"/>
          <w:sz w:val="24"/>
          <w:szCs w:val="20"/>
        </w:rPr>
      </w:pPr>
      <w:r w:rsidRPr="002C3CC4">
        <w:rPr>
          <w:rStyle w:val="copy1"/>
          <w:rFonts w:ascii="Microsoft Sans Serif" w:hAnsi="Microsoft Sans Serif" w:cs="Microsoft Sans Serif"/>
          <w:b/>
          <w:color w:val="1F497D" w:themeColor="text2"/>
          <w:sz w:val="24"/>
          <w:szCs w:val="20"/>
        </w:rPr>
        <w:t xml:space="preserve">Hewlett-Packard Company – Director, </w:t>
      </w:r>
      <w:r w:rsidR="006E3908" w:rsidRPr="002C3CC4">
        <w:rPr>
          <w:rStyle w:val="copy1"/>
          <w:rFonts w:ascii="Microsoft Sans Serif" w:hAnsi="Microsoft Sans Serif" w:cs="Microsoft Sans Serif"/>
          <w:b/>
          <w:color w:val="1F497D" w:themeColor="text2"/>
          <w:sz w:val="24"/>
          <w:szCs w:val="20"/>
        </w:rPr>
        <w:t>Strategic Business</w:t>
      </w:r>
      <w:r w:rsidRPr="002C3CC4">
        <w:rPr>
          <w:rStyle w:val="copy1"/>
          <w:rFonts w:ascii="Microsoft Sans Serif" w:hAnsi="Microsoft Sans Serif" w:cs="Microsoft Sans Serif"/>
          <w:b/>
          <w:color w:val="1F497D" w:themeColor="text2"/>
          <w:sz w:val="24"/>
          <w:szCs w:val="20"/>
        </w:rPr>
        <w:t xml:space="preserve"> Development</w:t>
      </w:r>
      <w:r w:rsidR="00650730" w:rsidRPr="002C3CC4">
        <w:rPr>
          <w:rStyle w:val="copy1"/>
          <w:rFonts w:ascii="Microsoft Sans Serif" w:hAnsi="Microsoft Sans Serif" w:cs="Microsoft Sans Serif"/>
          <w:b/>
          <w:color w:val="1F497D" w:themeColor="text2"/>
          <w:sz w:val="24"/>
          <w:szCs w:val="20"/>
        </w:rPr>
        <w:t xml:space="preserve"> (Energy &amp; Major Accounts)</w:t>
      </w:r>
    </w:p>
    <w:p w:rsidR="00650730" w:rsidRPr="002C3CC4" w:rsidRDefault="001521CA" w:rsidP="00455CAA">
      <w:pPr>
        <w:pStyle w:val="NormalWeb"/>
        <w:rPr>
          <w:rStyle w:val="copy1"/>
          <w:color w:val="1F497D" w:themeColor="text2"/>
          <w:sz w:val="22"/>
          <w:szCs w:val="22"/>
        </w:rPr>
      </w:pPr>
      <w:r w:rsidRPr="002C3CC4">
        <w:rPr>
          <w:rFonts w:ascii="Arial" w:hAnsi="Arial" w:cs="Arial"/>
          <w:b/>
          <w:color w:val="1F497D" w:themeColor="text2"/>
          <w:sz w:val="22"/>
          <w:szCs w:val="22"/>
        </w:rPr>
        <w:t xml:space="preserve">July 2013 – </w:t>
      </w:r>
      <w:r w:rsidR="0037283A">
        <w:rPr>
          <w:rFonts w:ascii="Arial" w:hAnsi="Arial" w:cs="Arial"/>
          <w:b/>
          <w:color w:val="1F497D" w:themeColor="text2"/>
          <w:sz w:val="22"/>
          <w:szCs w:val="22"/>
        </w:rPr>
        <w:t>Aug 2015</w:t>
      </w:r>
      <w:bookmarkStart w:id="1" w:name="_GoBack"/>
      <w:bookmarkEnd w:id="1"/>
      <w:r w:rsidRPr="002C3CC4">
        <w:rPr>
          <w:rFonts w:ascii="Arial" w:hAnsi="Arial" w:cs="Arial"/>
          <w:b/>
          <w:color w:val="1F497D" w:themeColor="text2"/>
          <w:sz w:val="22"/>
          <w:szCs w:val="22"/>
        </w:rPr>
        <w:t xml:space="preserve"> – Energy </w:t>
      </w:r>
      <w:r w:rsidR="001E272B" w:rsidRPr="002C3CC4">
        <w:rPr>
          <w:rFonts w:ascii="Arial" w:hAnsi="Arial" w:cs="Arial"/>
          <w:b/>
          <w:color w:val="1F497D" w:themeColor="text2"/>
          <w:sz w:val="22"/>
          <w:szCs w:val="22"/>
        </w:rPr>
        <w:t xml:space="preserve">Industry </w:t>
      </w:r>
      <w:r w:rsidRPr="002C3CC4">
        <w:rPr>
          <w:rFonts w:ascii="Arial" w:hAnsi="Arial" w:cs="Arial"/>
          <w:b/>
          <w:color w:val="1F497D" w:themeColor="text2"/>
          <w:sz w:val="22"/>
          <w:szCs w:val="22"/>
        </w:rPr>
        <w:t xml:space="preserve">and </w:t>
      </w:r>
      <w:r w:rsidR="00650730" w:rsidRPr="002C3CC4">
        <w:rPr>
          <w:rFonts w:ascii="Arial" w:hAnsi="Arial" w:cs="Arial"/>
          <w:b/>
          <w:color w:val="1F497D" w:themeColor="text2"/>
          <w:sz w:val="22"/>
          <w:szCs w:val="22"/>
        </w:rPr>
        <w:t>Major</w:t>
      </w:r>
      <w:r w:rsidRPr="002C3CC4">
        <w:rPr>
          <w:rFonts w:ascii="Arial" w:hAnsi="Arial" w:cs="Arial"/>
          <w:b/>
          <w:color w:val="1F497D" w:themeColor="text2"/>
          <w:sz w:val="22"/>
          <w:szCs w:val="22"/>
        </w:rPr>
        <w:t xml:space="preserve"> accounts</w:t>
      </w:r>
      <w:r w:rsidRPr="002C3CC4">
        <w:rPr>
          <w:rFonts w:ascii="Arial" w:hAnsi="Arial" w:cs="Arial"/>
          <w:color w:val="1F497D" w:themeColor="text2"/>
          <w:sz w:val="22"/>
          <w:szCs w:val="22"/>
        </w:rPr>
        <w:t xml:space="preserve"> - </w:t>
      </w:r>
      <w:r w:rsidR="006E7BD3" w:rsidRPr="002C3CC4">
        <w:rPr>
          <w:rFonts w:ascii="Arial" w:hAnsi="Arial" w:cs="Arial"/>
          <w:color w:val="1F497D" w:themeColor="text2"/>
          <w:sz w:val="22"/>
          <w:szCs w:val="22"/>
        </w:rPr>
        <w:t>R</w:t>
      </w:r>
      <w:r w:rsidRPr="002C3CC4">
        <w:rPr>
          <w:rFonts w:ascii="Arial" w:hAnsi="Arial" w:cs="Arial"/>
          <w:color w:val="1F497D" w:themeColor="text2"/>
          <w:sz w:val="22"/>
          <w:szCs w:val="22"/>
        </w:rPr>
        <w:t xml:space="preserve">esponsible for providing leadership for a multi-billion dollar pipeline of business for key Energy </w:t>
      </w:r>
      <w:r w:rsidR="001E272B" w:rsidRPr="002C3CC4">
        <w:rPr>
          <w:rFonts w:ascii="Arial" w:hAnsi="Arial" w:cs="Arial"/>
          <w:color w:val="1F497D" w:themeColor="text2"/>
          <w:sz w:val="22"/>
          <w:szCs w:val="22"/>
        </w:rPr>
        <w:t xml:space="preserve">Industry </w:t>
      </w:r>
      <w:r w:rsidRPr="002C3CC4">
        <w:rPr>
          <w:rFonts w:ascii="Arial" w:hAnsi="Arial" w:cs="Arial"/>
          <w:color w:val="1F497D" w:themeColor="text2"/>
          <w:sz w:val="22"/>
          <w:szCs w:val="22"/>
        </w:rPr>
        <w:t>and the top 30 Growth Accounts</w:t>
      </w:r>
      <w:r w:rsidR="006E7BD3" w:rsidRPr="002C3CC4">
        <w:rPr>
          <w:rFonts w:ascii="Arial" w:hAnsi="Arial" w:cs="Arial"/>
          <w:color w:val="1F497D" w:themeColor="text2"/>
          <w:sz w:val="22"/>
          <w:szCs w:val="22"/>
        </w:rPr>
        <w:t xml:space="preserve"> within Enterprise Services (ES)</w:t>
      </w:r>
      <w:r w:rsidRPr="002C3CC4">
        <w:rPr>
          <w:rFonts w:ascii="Arial" w:hAnsi="Arial" w:cs="Arial"/>
          <w:color w:val="1F497D" w:themeColor="text2"/>
          <w:sz w:val="22"/>
          <w:szCs w:val="22"/>
        </w:rPr>
        <w:t xml:space="preserve">. My remit is to drive the Go-to-market strategy for </w:t>
      </w:r>
      <w:r w:rsidR="00DA4CB1" w:rsidRPr="002C3CC4">
        <w:rPr>
          <w:rFonts w:ascii="Arial" w:hAnsi="Arial" w:cs="Arial"/>
          <w:color w:val="1F497D" w:themeColor="text2"/>
          <w:sz w:val="22"/>
          <w:szCs w:val="22"/>
        </w:rPr>
        <w:t>Utilities and Oil and Gas</w:t>
      </w:r>
      <w:r w:rsidRPr="002C3CC4">
        <w:rPr>
          <w:rFonts w:ascii="Arial" w:hAnsi="Arial" w:cs="Arial"/>
          <w:color w:val="1F497D" w:themeColor="text2"/>
          <w:sz w:val="22"/>
          <w:szCs w:val="22"/>
        </w:rPr>
        <w:t xml:space="preserve">, establish target clients, develop campaigns and business solutions propositions and co-ordinate the </w:t>
      </w:r>
      <w:r w:rsidR="001E272B" w:rsidRPr="002C3CC4">
        <w:rPr>
          <w:rFonts w:ascii="Arial" w:hAnsi="Arial" w:cs="Arial"/>
          <w:color w:val="1F497D" w:themeColor="text2"/>
          <w:sz w:val="22"/>
          <w:szCs w:val="22"/>
        </w:rPr>
        <w:t xml:space="preserve">Subject Matter Expert (SME) </w:t>
      </w:r>
      <w:r w:rsidRPr="002C3CC4">
        <w:rPr>
          <w:rFonts w:ascii="Arial" w:hAnsi="Arial" w:cs="Arial"/>
          <w:color w:val="1F497D" w:themeColor="text2"/>
          <w:sz w:val="22"/>
          <w:szCs w:val="22"/>
        </w:rPr>
        <w:t>communities within HP</w:t>
      </w:r>
      <w:r w:rsidR="001E272B" w:rsidRPr="002C3CC4">
        <w:rPr>
          <w:rFonts w:ascii="Arial" w:hAnsi="Arial" w:cs="Arial"/>
          <w:color w:val="1F497D" w:themeColor="text2"/>
          <w:sz w:val="22"/>
          <w:szCs w:val="22"/>
        </w:rPr>
        <w:t xml:space="preserve"> so</w:t>
      </w:r>
      <w:r w:rsidRPr="002C3CC4">
        <w:rPr>
          <w:rFonts w:ascii="Arial" w:hAnsi="Arial" w:cs="Arial"/>
          <w:color w:val="1F497D" w:themeColor="text2"/>
          <w:sz w:val="22"/>
          <w:szCs w:val="22"/>
        </w:rPr>
        <w:t xml:space="preserve"> that </w:t>
      </w:r>
      <w:r w:rsidR="001E272B" w:rsidRPr="002C3CC4">
        <w:rPr>
          <w:rFonts w:ascii="Arial" w:hAnsi="Arial" w:cs="Arial"/>
          <w:color w:val="1F497D" w:themeColor="text2"/>
          <w:sz w:val="22"/>
          <w:szCs w:val="22"/>
        </w:rPr>
        <w:t>they can be mobilized in support of the growth strategy</w:t>
      </w:r>
      <w:r w:rsidRPr="002C3CC4">
        <w:rPr>
          <w:rFonts w:ascii="Arial" w:hAnsi="Arial" w:cs="Arial"/>
          <w:color w:val="1F497D" w:themeColor="text2"/>
          <w:sz w:val="22"/>
          <w:szCs w:val="22"/>
        </w:rPr>
        <w:t>. For the top 30 growth accounts, I am responsible for working with the assigned Business Developers, account teams and other support teams (e.g. CTO office) to drive growth on those accounts in line with overall ES strategy and the needs of the individual clients. For specific strategic opportunities I am responsible for managing the identification, development and effective transition of opportunities to pursuit teams.</w:t>
      </w:r>
    </w:p>
    <w:p w:rsidR="00455CAA" w:rsidRPr="002C3CC4" w:rsidRDefault="001521CA" w:rsidP="00E56BED">
      <w:pPr>
        <w:pStyle w:val="NormalWeb"/>
        <w:rPr>
          <w:rStyle w:val="copy1"/>
          <w:color w:val="1F497D" w:themeColor="text2"/>
          <w:sz w:val="22"/>
          <w:szCs w:val="22"/>
        </w:rPr>
      </w:pPr>
      <w:r w:rsidRPr="002C3CC4">
        <w:rPr>
          <w:rFonts w:ascii="Arial" w:hAnsi="Arial" w:cs="Arial"/>
          <w:b/>
          <w:color w:val="1F497D" w:themeColor="text2"/>
          <w:sz w:val="22"/>
          <w:szCs w:val="22"/>
        </w:rPr>
        <w:t>Oct 2010 – July 2013 – Energy and Distribution Vertical Lead</w:t>
      </w:r>
      <w:r w:rsidRPr="002C3CC4">
        <w:rPr>
          <w:rFonts w:ascii="Arial" w:hAnsi="Arial" w:cs="Arial"/>
          <w:color w:val="1F497D" w:themeColor="text2"/>
          <w:sz w:val="22"/>
          <w:szCs w:val="22"/>
        </w:rPr>
        <w:t xml:space="preserve"> - </w:t>
      </w:r>
      <w:r w:rsidR="0054187B" w:rsidRPr="002C3CC4">
        <w:rPr>
          <w:rFonts w:ascii="Arial" w:hAnsi="Arial" w:cs="Arial"/>
          <w:color w:val="1F497D" w:themeColor="text2"/>
          <w:sz w:val="22"/>
          <w:szCs w:val="22"/>
        </w:rPr>
        <w:t xml:space="preserve">responsible for providing leadership for </w:t>
      </w:r>
      <w:r w:rsidR="008714E7" w:rsidRPr="002C3CC4">
        <w:rPr>
          <w:rFonts w:ascii="Arial" w:hAnsi="Arial" w:cs="Arial"/>
          <w:color w:val="1F497D" w:themeColor="text2"/>
          <w:sz w:val="22"/>
          <w:szCs w:val="22"/>
        </w:rPr>
        <w:t>a</w:t>
      </w:r>
      <w:r w:rsidR="0054187B" w:rsidRPr="002C3CC4">
        <w:rPr>
          <w:rFonts w:ascii="Arial" w:hAnsi="Arial" w:cs="Arial"/>
          <w:color w:val="1F497D" w:themeColor="text2"/>
          <w:sz w:val="22"/>
          <w:szCs w:val="22"/>
        </w:rPr>
        <w:t xml:space="preserve"> multi-billion dollar pipeline of business </w:t>
      </w:r>
      <w:r w:rsidR="00650730" w:rsidRPr="002C3CC4">
        <w:rPr>
          <w:rFonts w:ascii="Arial" w:hAnsi="Arial" w:cs="Arial"/>
          <w:color w:val="1F497D" w:themeColor="text2"/>
          <w:sz w:val="22"/>
          <w:szCs w:val="22"/>
        </w:rPr>
        <w:t>for key Energy and distribution</w:t>
      </w:r>
      <w:r w:rsidR="0054187B" w:rsidRPr="002C3CC4">
        <w:rPr>
          <w:rFonts w:ascii="Arial" w:hAnsi="Arial" w:cs="Arial"/>
          <w:color w:val="1F497D" w:themeColor="text2"/>
          <w:sz w:val="22"/>
          <w:szCs w:val="22"/>
        </w:rPr>
        <w:t xml:space="preserve"> (Utilities, Oil &amp; Gas, Retail, CPG, Transportation and Logistics) </w:t>
      </w:r>
      <w:r w:rsidR="00650730" w:rsidRPr="002C3CC4">
        <w:rPr>
          <w:rFonts w:ascii="Arial" w:hAnsi="Arial" w:cs="Arial"/>
          <w:color w:val="1F497D" w:themeColor="text2"/>
          <w:sz w:val="22"/>
          <w:szCs w:val="22"/>
        </w:rPr>
        <w:t xml:space="preserve">sector </w:t>
      </w:r>
      <w:r w:rsidR="0054187B" w:rsidRPr="002C3CC4">
        <w:rPr>
          <w:rFonts w:ascii="Arial" w:hAnsi="Arial" w:cs="Arial"/>
          <w:color w:val="1F497D" w:themeColor="text2"/>
          <w:sz w:val="22"/>
          <w:szCs w:val="22"/>
        </w:rPr>
        <w:t>clients.</w:t>
      </w:r>
      <w:r w:rsidR="001E272B" w:rsidRPr="002C3CC4">
        <w:rPr>
          <w:rFonts w:ascii="Arial" w:hAnsi="Arial" w:cs="Arial"/>
          <w:color w:val="1F497D" w:themeColor="text2"/>
          <w:sz w:val="22"/>
          <w:szCs w:val="22"/>
        </w:rPr>
        <w:t xml:space="preserve"> </w:t>
      </w:r>
      <w:r w:rsidR="00DA4CB1" w:rsidRPr="002C3CC4">
        <w:rPr>
          <w:rFonts w:ascii="Arial" w:hAnsi="Arial" w:cs="Arial"/>
          <w:color w:val="1F497D" w:themeColor="text2"/>
          <w:sz w:val="22"/>
          <w:szCs w:val="22"/>
        </w:rPr>
        <w:t>I</w:t>
      </w:r>
      <w:r w:rsidR="008714E7" w:rsidRPr="002C3CC4">
        <w:rPr>
          <w:rFonts w:ascii="Arial" w:hAnsi="Arial" w:cs="Arial"/>
          <w:color w:val="1F497D" w:themeColor="text2"/>
          <w:sz w:val="22"/>
          <w:szCs w:val="22"/>
        </w:rPr>
        <w:t xml:space="preserve">ncreased qualified pipeline for </w:t>
      </w:r>
      <w:r w:rsidR="008714E7" w:rsidRPr="002C3CC4">
        <w:rPr>
          <w:rFonts w:ascii="Arial" w:hAnsi="Arial" w:cs="Arial"/>
          <w:color w:val="1F497D" w:themeColor="text2"/>
          <w:sz w:val="22"/>
          <w:szCs w:val="22"/>
        </w:rPr>
        <w:lastRenderedPageBreak/>
        <w:t>target accounts by 33% and established a 3 year program to double SOW in ea</w:t>
      </w:r>
      <w:r w:rsidR="003162EE" w:rsidRPr="002C3CC4">
        <w:rPr>
          <w:rFonts w:ascii="Arial" w:hAnsi="Arial" w:cs="Arial"/>
          <w:color w:val="1F497D" w:themeColor="text2"/>
          <w:sz w:val="22"/>
          <w:szCs w:val="22"/>
        </w:rPr>
        <w:t>ch of the Industry verticals that I am responsible for</w:t>
      </w:r>
      <w:r w:rsidR="008714E7" w:rsidRPr="002C3CC4">
        <w:rPr>
          <w:rFonts w:ascii="Arial" w:hAnsi="Arial" w:cs="Arial"/>
          <w:color w:val="1F497D" w:themeColor="text2"/>
          <w:sz w:val="22"/>
          <w:szCs w:val="22"/>
        </w:rPr>
        <w:t>.</w:t>
      </w:r>
    </w:p>
    <w:p w:rsidR="00BF484A" w:rsidRPr="002C3CC4" w:rsidRDefault="00D92B68" w:rsidP="00E56BED">
      <w:pPr>
        <w:pStyle w:val="NormalWeb"/>
        <w:rPr>
          <w:rStyle w:val="copy1"/>
          <w:rFonts w:ascii="Microsoft Sans Serif" w:hAnsi="Microsoft Sans Serif" w:cs="Microsoft Sans Serif"/>
          <w:b/>
          <w:color w:val="1F497D" w:themeColor="text2"/>
          <w:sz w:val="24"/>
          <w:szCs w:val="20"/>
        </w:rPr>
      </w:pPr>
      <w:r w:rsidRPr="002C3CC4">
        <w:rPr>
          <w:rStyle w:val="copy1"/>
          <w:rFonts w:ascii="Microsoft Sans Serif" w:hAnsi="Microsoft Sans Serif" w:cs="Microsoft Sans Serif"/>
          <w:b/>
          <w:color w:val="1F497D" w:themeColor="text2"/>
          <w:sz w:val="24"/>
          <w:szCs w:val="20"/>
        </w:rPr>
        <w:t xml:space="preserve">TPI (2001 – </w:t>
      </w:r>
      <w:r w:rsidR="00DA4CB1" w:rsidRPr="002C3CC4">
        <w:rPr>
          <w:rStyle w:val="copy1"/>
          <w:rFonts w:ascii="Microsoft Sans Serif" w:hAnsi="Microsoft Sans Serif" w:cs="Microsoft Sans Serif"/>
          <w:b/>
          <w:color w:val="1F497D" w:themeColor="text2"/>
          <w:sz w:val="24"/>
          <w:szCs w:val="20"/>
        </w:rPr>
        <w:t>2010</w:t>
      </w:r>
      <w:r w:rsidRPr="002C3CC4">
        <w:rPr>
          <w:rStyle w:val="copy1"/>
          <w:rFonts w:ascii="Microsoft Sans Serif" w:hAnsi="Microsoft Sans Serif" w:cs="Microsoft Sans Serif"/>
          <w:b/>
          <w:color w:val="1F497D" w:themeColor="text2"/>
          <w:sz w:val="24"/>
          <w:szCs w:val="20"/>
        </w:rPr>
        <w:t>)</w:t>
      </w:r>
      <w:r w:rsidR="00BF484A" w:rsidRPr="002C3CC4">
        <w:rPr>
          <w:rStyle w:val="copy1"/>
          <w:rFonts w:ascii="Microsoft Sans Serif" w:hAnsi="Microsoft Sans Serif" w:cs="Microsoft Sans Serif"/>
          <w:b/>
          <w:color w:val="1F497D" w:themeColor="text2"/>
          <w:sz w:val="24"/>
          <w:szCs w:val="20"/>
        </w:rPr>
        <w:t xml:space="preserve"> - Partner CIO Services</w:t>
      </w:r>
      <w:r w:rsidR="00650730" w:rsidRPr="002C3CC4">
        <w:rPr>
          <w:rStyle w:val="copy1"/>
          <w:rFonts w:ascii="Microsoft Sans Serif" w:hAnsi="Microsoft Sans Serif" w:cs="Microsoft Sans Serif"/>
          <w:b/>
          <w:color w:val="1F497D" w:themeColor="text2"/>
          <w:sz w:val="24"/>
          <w:szCs w:val="20"/>
        </w:rPr>
        <w:t xml:space="preserve"> &amp; Strategic deals</w:t>
      </w:r>
      <w:r w:rsidR="00BF484A" w:rsidRPr="002C3CC4">
        <w:rPr>
          <w:rStyle w:val="copy1"/>
          <w:rFonts w:ascii="Microsoft Sans Serif" w:hAnsi="Microsoft Sans Serif" w:cs="Microsoft Sans Serif"/>
          <w:b/>
          <w:color w:val="1F497D" w:themeColor="text2"/>
          <w:sz w:val="24"/>
          <w:szCs w:val="20"/>
        </w:rPr>
        <w:t>, EMEA</w:t>
      </w:r>
    </w:p>
    <w:p w:rsidR="00C35B79" w:rsidRPr="002C3CC4" w:rsidRDefault="00AE4F0F" w:rsidP="00E56BED">
      <w:pPr>
        <w:pStyle w:val="NormalWeb"/>
        <w:rPr>
          <w:rFonts w:ascii="Microsoft Sans Serif" w:hAnsi="Microsoft Sans Serif" w:cs="Microsoft Sans Serif"/>
          <w:b/>
          <w:color w:val="1F497D" w:themeColor="text2"/>
          <w:szCs w:val="20"/>
        </w:rPr>
      </w:pPr>
      <w:r w:rsidRPr="002C3CC4">
        <w:rPr>
          <w:rFonts w:ascii="Arial" w:hAnsi="Arial" w:cs="Arial"/>
          <w:color w:val="1F497D" w:themeColor="text2"/>
          <w:sz w:val="22"/>
          <w:szCs w:val="22"/>
        </w:rPr>
        <w:t>TPI</w:t>
      </w:r>
      <w:r w:rsidR="00DA4CB1" w:rsidRPr="002C3CC4">
        <w:rPr>
          <w:rFonts w:ascii="Arial" w:hAnsi="Arial" w:cs="Arial"/>
          <w:color w:val="1F497D" w:themeColor="text2"/>
          <w:sz w:val="22"/>
          <w:szCs w:val="22"/>
        </w:rPr>
        <w:t xml:space="preserve"> (now known as ISG)</w:t>
      </w:r>
      <w:r w:rsidRPr="002C3CC4">
        <w:rPr>
          <w:rFonts w:ascii="Arial" w:hAnsi="Arial" w:cs="Arial"/>
          <w:color w:val="1F497D" w:themeColor="text2"/>
          <w:sz w:val="22"/>
          <w:szCs w:val="22"/>
        </w:rPr>
        <w:t xml:space="preserve"> is the </w:t>
      </w:r>
      <w:r w:rsidR="0070703B" w:rsidRPr="002C3CC4">
        <w:rPr>
          <w:rFonts w:ascii="Arial" w:hAnsi="Arial" w:cs="Arial"/>
          <w:color w:val="1F497D" w:themeColor="text2"/>
          <w:sz w:val="22"/>
          <w:szCs w:val="22"/>
        </w:rPr>
        <w:t>world’s</w:t>
      </w:r>
      <w:r w:rsidRPr="002C3CC4">
        <w:rPr>
          <w:rFonts w:ascii="Arial" w:hAnsi="Arial" w:cs="Arial"/>
          <w:color w:val="1F497D" w:themeColor="text2"/>
          <w:sz w:val="22"/>
          <w:szCs w:val="22"/>
        </w:rPr>
        <w:t xml:space="preserve"> leading sourcing advisory firm. I </w:t>
      </w:r>
      <w:r w:rsidR="008714E7" w:rsidRPr="002C3CC4">
        <w:rPr>
          <w:rFonts w:ascii="Arial" w:hAnsi="Arial" w:cs="Arial"/>
          <w:color w:val="1F497D" w:themeColor="text2"/>
          <w:sz w:val="22"/>
          <w:szCs w:val="22"/>
        </w:rPr>
        <w:t>was</w:t>
      </w:r>
      <w:r w:rsidRPr="002C3CC4">
        <w:rPr>
          <w:rFonts w:ascii="Arial" w:hAnsi="Arial" w:cs="Arial"/>
          <w:color w:val="1F497D" w:themeColor="text2"/>
          <w:sz w:val="22"/>
          <w:szCs w:val="22"/>
        </w:rPr>
        <w:t xml:space="preserve"> r</w:t>
      </w:r>
      <w:r w:rsidR="007F27F1" w:rsidRPr="002C3CC4">
        <w:rPr>
          <w:rFonts w:ascii="Arial" w:hAnsi="Arial" w:cs="Arial"/>
          <w:color w:val="1F497D" w:themeColor="text2"/>
          <w:sz w:val="22"/>
          <w:szCs w:val="22"/>
        </w:rPr>
        <w:t>esponsible</w:t>
      </w:r>
      <w:r w:rsidR="00460120" w:rsidRPr="002C3CC4">
        <w:rPr>
          <w:rFonts w:ascii="Arial" w:hAnsi="Arial" w:cs="Arial"/>
          <w:color w:val="1F497D" w:themeColor="text2"/>
          <w:sz w:val="22"/>
          <w:szCs w:val="22"/>
        </w:rPr>
        <w:t xml:space="preserve"> for </w:t>
      </w:r>
      <w:r w:rsidR="004714EE" w:rsidRPr="002C3CC4">
        <w:rPr>
          <w:rFonts w:ascii="Arial" w:hAnsi="Arial" w:cs="Arial"/>
          <w:color w:val="1F497D" w:themeColor="text2"/>
          <w:sz w:val="22"/>
          <w:szCs w:val="22"/>
        </w:rPr>
        <w:t xml:space="preserve">the development, sales and implementation of TPI’s </w:t>
      </w:r>
      <w:r w:rsidR="00356E87" w:rsidRPr="002C3CC4">
        <w:rPr>
          <w:rFonts w:ascii="Arial" w:hAnsi="Arial" w:cs="Arial"/>
          <w:color w:val="1F497D" w:themeColor="text2"/>
          <w:sz w:val="22"/>
          <w:szCs w:val="22"/>
        </w:rPr>
        <w:t xml:space="preserve">CIO </w:t>
      </w:r>
      <w:r w:rsidR="004714EE" w:rsidRPr="002C3CC4">
        <w:rPr>
          <w:rFonts w:ascii="Arial" w:hAnsi="Arial" w:cs="Arial"/>
          <w:color w:val="1F497D" w:themeColor="text2"/>
          <w:sz w:val="22"/>
          <w:szCs w:val="22"/>
        </w:rPr>
        <w:t>sourcing advisory service</w:t>
      </w:r>
      <w:r w:rsidR="004F79D4" w:rsidRPr="002C3CC4">
        <w:rPr>
          <w:rFonts w:ascii="Arial" w:hAnsi="Arial" w:cs="Arial"/>
          <w:color w:val="1F497D" w:themeColor="text2"/>
          <w:sz w:val="22"/>
          <w:szCs w:val="22"/>
        </w:rPr>
        <w:t>s</w:t>
      </w:r>
      <w:r w:rsidR="004714EE" w:rsidRPr="002C3CC4">
        <w:rPr>
          <w:rFonts w:ascii="Arial" w:hAnsi="Arial" w:cs="Arial"/>
          <w:color w:val="1F497D" w:themeColor="text2"/>
          <w:sz w:val="22"/>
          <w:szCs w:val="22"/>
        </w:rPr>
        <w:t xml:space="preserve"> </w:t>
      </w:r>
      <w:r w:rsidR="00335362" w:rsidRPr="002C3CC4">
        <w:rPr>
          <w:rFonts w:ascii="Arial" w:hAnsi="Arial" w:cs="Arial"/>
          <w:color w:val="1F497D" w:themeColor="text2"/>
          <w:sz w:val="22"/>
          <w:szCs w:val="22"/>
        </w:rPr>
        <w:t>in</w:t>
      </w:r>
      <w:r w:rsidR="00BF484A" w:rsidRPr="002C3CC4">
        <w:rPr>
          <w:rFonts w:ascii="Arial" w:hAnsi="Arial" w:cs="Arial"/>
          <w:color w:val="1F497D" w:themeColor="text2"/>
          <w:sz w:val="22"/>
          <w:szCs w:val="22"/>
        </w:rPr>
        <w:t xml:space="preserve"> EMEA. </w:t>
      </w:r>
      <w:r w:rsidR="001C68AF" w:rsidRPr="002C3CC4">
        <w:rPr>
          <w:rFonts w:ascii="Arial" w:hAnsi="Arial" w:cs="Arial"/>
          <w:color w:val="1F497D" w:themeColor="text2"/>
          <w:sz w:val="22"/>
          <w:szCs w:val="22"/>
        </w:rPr>
        <w:t xml:space="preserve"> </w:t>
      </w:r>
      <w:r w:rsidR="00BF484A" w:rsidRPr="002C3CC4">
        <w:rPr>
          <w:rFonts w:ascii="Arial" w:hAnsi="Arial" w:cs="Arial"/>
          <w:color w:val="1F497D" w:themeColor="text2"/>
          <w:sz w:val="22"/>
          <w:szCs w:val="22"/>
        </w:rPr>
        <w:t xml:space="preserve">I </w:t>
      </w:r>
      <w:r w:rsidR="008714E7" w:rsidRPr="002C3CC4">
        <w:rPr>
          <w:rFonts w:ascii="Arial" w:hAnsi="Arial" w:cs="Arial"/>
          <w:color w:val="1F497D" w:themeColor="text2"/>
          <w:sz w:val="22"/>
          <w:szCs w:val="22"/>
        </w:rPr>
        <w:t>le</w:t>
      </w:r>
      <w:r w:rsidR="00BF484A" w:rsidRPr="002C3CC4">
        <w:rPr>
          <w:rFonts w:ascii="Arial" w:hAnsi="Arial" w:cs="Arial"/>
          <w:color w:val="1F497D" w:themeColor="text2"/>
          <w:sz w:val="22"/>
          <w:szCs w:val="22"/>
        </w:rPr>
        <w:t xml:space="preserve">d the majority of TPI’s </w:t>
      </w:r>
      <w:r w:rsidR="00857BBC" w:rsidRPr="002C3CC4">
        <w:rPr>
          <w:rFonts w:ascii="Arial" w:hAnsi="Arial" w:cs="Arial"/>
          <w:color w:val="1F497D" w:themeColor="text2"/>
          <w:sz w:val="22"/>
          <w:szCs w:val="22"/>
        </w:rPr>
        <w:t>most</w:t>
      </w:r>
      <w:r w:rsidR="00460120" w:rsidRPr="002C3CC4">
        <w:rPr>
          <w:rFonts w:ascii="Arial" w:hAnsi="Arial" w:cs="Arial"/>
          <w:color w:val="1F497D" w:themeColor="text2"/>
          <w:sz w:val="22"/>
          <w:szCs w:val="22"/>
        </w:rPr>
        <w:t xml:space="preserve"> complex transactions</w:t>
      </w:r>
      <w:r w:rsidR="004714EE" w:rsidRPr="002C3CC4">
        <w:rPr>
          <w:rFonts w:ascii="Arial" w:hAnsi="Arial" w:cs="Arial"/>
          <w:color w:val="1F497D" w:themeColor="text2"/>
          <w:sz w:val="22"/>
          <w:szCs w:val="22"/>
        </w:rPr>
        <w:t xml:space="preserve"> and</w:t>
      </w:r>
      <w:r w:rsidR="00C35B79" w:rsidRPr="002C3CC4">
        <w:rPr>
          <w:rFonts w:ascii="Arial" w:hAnsi="Arial" w:cs="Arial"/>
          <w:color w:val="1F497D" w:themeColor="text2"/>
          <w:sz w:val="22"/>
          <w:szCs w:val="22"/>
        </w:rPr>
        <w:t xml:space="preserve"> </w:t>
      </w:r>
      <w:r w:rsidR="00460120" w:rsidRPr="002C3CC4">
        <w:rPr>
          <w:rFonts w:ascii="Arial" w:hAnsi="Arial" w:cs="Arial"/>
          <w:color w:val="1F497D" w:themeColor="text2"/>
          <w:sz w:val="22"/>
          <w:szCs w:val="22"/>
        </w:rPr>
        <w:t>have</w:t>
      </w:r>
      <w:r w:rsidR="00C35B79" w:rsidRPr="002C3CC4">
        <w:rPr>
          <w:rFonts w:ascii="Arial" w:hAnsi="Arial" w:cs="Arial"/>
          <w:color w:val="1F497D" w:themeColor="text2"/>
          <w:sz w:val="22"/>
          <w:szCs w:val="22"/>
        </w:rPr>
        <w:t xml:space="preserve"> managed the successful evaluation, negotiation and implementation of multiple </w:t>
      </w:r>
      <w:r w:rsidR="00356E87" w:rsidRPr="002C3CC4">
        <w:rPr>
          <w:rFonts w:ascii="Arial" w:hAnsi="Arial" w:cs="Arial"/>
          <w:color w:val="1F497D" w:themeColor="text2"/>
          <w:sz w:val="22"/>
          <w:szCs w:val="22"/>
        </w:rPr>
        <w:t xml:space="preserve">large scale </w:t>
      </w:r>
      <w:r w:rsidR="00C35B79" w:rsidRPr="002C3CC4">
        <w:rPr>
          <w:rFonts w:ascii="Arial" w:hAnsi="Arial" w:cs="Arial"/>
          <w:color w:val="1F497D" w:themeColor="text2"/>
          <w:sz w:val="22"/>
          <w:szCs w:val="22"/>
        </w:rPr>
        <w:t xml:space="preserve">transformational sourcing </w:t>
      </w:r>
      <w:r w:rsidR="00356E87" w:rsidRPr="002C3CC4">
        <w:rPr>
          <w:rFonts w:ascii="Arial" w:hAnsi="Arial" w:cs="Arial"/>
          <w:color w:val="1F497D" w:themeColor="text2"/>
          <w:sz w:val="22"/>
          <w:szCs w:val="22"/>
        </w:rPr>
        <w:t>initiatives</w:t>
      </w:r>
      <w:r w:rsidR="00C35B79" w:rsidRPr="002C3CC4">
        <w:rPr>
          <w:rFonts w:ascii="Arial" w:hAnsi="Arial" w:cs="Arial"/>
          <w:color w:val="1F497D" w:themeColor="text2"/>
          <w:sz w:val="22"/>
          <w:szCs w:val="22"/>
        </w:rPr>
        <w:t xml:space="preserve"> for </w:t>
      </w:r>
      <w:r w:rsidR="00BE5B34" w:rsidRPr="002C3CC4">
        <w:rPr>
          <w:rFonts w:ascii="Arial" w:hAnsi="Arial" w:cs="Arial"/>
          <w:color w:val="1F497D" w:themeColor="text2"/>
          <w:sz w:val="22"/>
          <w:szCs w:val="22"/>
        </w:rPr>
        <w:t>Fortune</w:t>
      </w:r>
      <w:r w:rsidR="00C35B79" w:rsidRPr="002C3CC4">
        <w:rPr>
          <w:rFonts w:ascii="Arial" w:hAnsi="Arial" w:cs="Arial"/>
          <w:color w:val="1F497D" w:themeColor="text2"/>
          <w:sz w:val="22"/>
          <w:szCs w:val="22"/>
        </w:rPr>
        <w:t xml:space="preserve"> </w:t>
      </w:r>
      <w:r w:rsidR="00650730" w:rsidRPr="002C3CC4">
        <w:rPr>
          <w:rFonts w:ascii="Arial" w:hAnsi="Arial" w:cs="Arial"/>
          <w:color w:val="1F497D" w:themeColor="text2"/>
          <w:sz w:val="22"/>
          <w:szCs w:val="22"/>
        </w:rPr>
        <w:t>500</w:t>
      </w:r>
      <w:r w:rsidR="00C35B79" w:rsidRPr="002C3CC4">
        <w:rPr>
          <w:rFonts w:ascii="Arial" w:hAnsi="Arial" w:cs="Arial"/>
          <w:color w:val="1F497D" w:themeColor="text2"/>
          <w:sz w:val="22"/>
          <w:szCs w:val="22"/>
        </w:rPr>
        <w:t xml:space="preserve"> companies</w:t>
      </w:r>
      <w:r w:rsidR="004F79D4" w:rsidRPr="002C3CC4">
        <w:rPr>
          <w:rFonts w:ascii="Arial" w:hAnsi="Arial" w:cs="Arial"/>
          <w:color w:val="1F497D" w:themeColor="text2"/>
          <w:sz w:val="22"/>
          <w:szCs w:val="22"/>
        </w:rPr>
        <w:t>,</w:t>
      </w:r>
      <w:r w:rsidR="00C35B79" w:rsidRPr="002C3CC4">
        <w:rPr>
          <w:rFonts w:ascii="Arial" w:hAnsi="Arial" w:cs="Arial"/>
          <w:color w:val="1F497D" w:themeColor="text2"/>
          <w:sz w:val="22"/>
          <w:szCs w:val="22"/>
        </w:rPr>
        <w:t xml:space="preserve"> resulting in significant operational savings</w:t>
      </w:r>
      <w:r w:rsidR="0079756B" w:rsidRPr="002C3CC4">
        <w:rPr>
          <w:rFonts w:ascii="Arial" w:hAnsi="Arial" w:cs="Arial"/>
          <w:color w:val="1F497D" w:themeColor="text2"/>
          <w:sz w:val="22"/>
          <w:szCs w:val="22"/>
        </w:rPr>
        <w:t xml:space="preserve"> and increased efficiency as well as the establishment of robust and lasting relationships with sourcing services providers.</w:t>
      </w:r>
      <w:r w:rsidR="00356E87" w:rsidRPr="002C3CC4">
        <w:rPr>
          <w:rFonts w:ascii="Arial" w:hAnsi="Arial" w:cs="Arial"/>
          <w:color w:val="1F497D" w:themeColor="text2"/>
          <w:sz w:val="22"/>
          <w:szCs w:val="22"/>
        </w:rPr>
        <w:t xml:space="preserve"> </w:t>
      </w:r>
      <w:r w:rsidR="00BF484A" w:rsidRPr="002C3CC4">
        <w:rPr>
          <w:rFonts w:ascii="Arial" w:hAnsi="Arial" w:cs="Arial"/>
          <w:color w:val="1F497D" w:themeColor="text2"/>
          <w:sz w:val="22"/>
          <w:szCs w:val="22"/>
        </w:rPr>
        <w:t xml:space="preserve">I have </w:t>
      </w:r>
      <w:r w:rsidR="00857BBC" w:rsidRPr="002C3CC4">
        <w:rPr>
          <w:rFonts w:ascii="Arial" w:hAnsi="Arial" w:cs="Arial"/>
          <w:color w:val="1F497D" w:themeColor="text2"/>
          <w:sz w:val="22"/>
          <w:szCs w:val="22"/>
        </w:rPr>
        <w:t>managed</w:t>
      </w:r>
      <w:r w:rsidR="00356E87" w:rsidRPr="002C3CC4">
        <w:rPr>
          <w:rFonts w:ascii="Arial" w:hAnsi="Arial" w:cs="Arial"/>
          <w:color w:val="1F497D" w:themeColor="text2"/>
          <w:sz w:val="22"/>
          <w:szCs w:val="22"/>
        </w:rPr>
        <w:t xml:space="preserve"> some of TPI’s most strategic clients across many industry sectors and </w:t>
      </w:r>
      <w:r w:rsidR="00BF484A" w:rsidRPr="002C3CC4">
        <w:rPr>
          <w:rFonts w:ascii="Arial" w:hAnsi="Arial" w:cs="Arial"/>
          <w:color w:val="1F497D" w:themeColor="text2"/>
          <w:sz w:val="22"/>
          <w:szCs w:val="22"/>
        </w:rPr>
        <w:t>have</w:t>
      </w:r>
      <w:r w:rsidR="00356E87" w:rsidRPr="002C3CC4">
        <w:rPr>
          <w:rFonts w:ascii="Arial" w:hAnsi="Arial" w:cs="Arial"/>
          <w:color w:val="1F497D" w:themeColor="text2"/>
          <w:sz w:val="22"/>
          <w:szCs w:val="22"/>
        </w:rPr>
        <w:t xml:space="preserve"> been responsible for the development of significant business within TPI’s strategic accounts in all the major European Countries.</w:t>
      </w:r>
    </w:p>
    <w:bookmarkEnd w:id="0"/>
    <w:p w:rsidR="00356E87" w:rsidRPr="002C3CC4" w:rsidRDefault="00E56BED" w:rsidP="00B83526">
      <w:pPr>
        <w:pStyle w:val="NormalWeb"/>
        <w:rPr>
          <w:rFonts w:ascii="Arial" w:hAnsi="Arial" w:cs="Arial"/>
          <w:bCs/>
          <w:color w:val="1F497D" w:themeColor="text2"/>
          <w:sz w:val="22"/>
          <w:szCs w:val="22"/>
        </w:rPr>
      </w:pPr>
      <w:r w:rsidRPr="002C3CC4">
        <w:rPr>
          <w:rFonts w:ascii="Arial" w:hAnsi="Arial" w:cs="Arial"/>
          <w:b/>
          <w:bCs/>
          <w:color w:val="1F497D" w:themeColor="text2"/>
          <w:sz w:val="22"/>
          <w:szCs w:val="22"/>
        </w:rPr>
        <w:t>Representative TPI</w:t>
      </w:r>
      <w:r w:rsidR="00DC4C36" w:rsidRPr="002C3CC4">
        <w:rPr>
          <w:rFonts w:ascii="Arial" w:hAnsi="Arial" w:cs="Arial"/>
          <w:b/>
          <w:bCs/>
          <w:color w:val="1F497D" w:themeColor="text2"/>
          <w:sz w:val="22"/>
          <w:szCs w:val="22"/>
        </w:rPr>
        <w:t xml:space="preserve"> (now known as ISG)</w:t>
      </w:r>
      <w:r w:rsidRPr="002C3CC4">
        <w:rPr>
          <w:rFonts w:ascii="Arial" w:hAnsi="Arial" w:cs="Arial"/>
          <w:b/>
          <w:bCs/>
          <w:color w:val="1F497D" w:themeColor="text2"/>
          <w:sz w:val="22"/>
          <w:szCs w:val="22"/>
        </w:rPr>
        <w:t xml:space="preserve"> Engagements:</w:t>
      </w:r>
      <w:r w:rsidRPr="002C3CC4">
        <w:rPr>
          <w:rFonts w:ascii="Arial" w:hAnsi="Arial" w:cs="Arial"/>
          <w:bCs/>
          <w:color w:val="1F497D" w:themeColor="text2"/>
          <w:sz w:val="22"/>
          <w:szCs w:val="22"/>
        </w:rPr>
        <w:t xml:space="preserve">  </w:t>
      </w:r>
    </w:p>
    <w:p w:rsidR="00356E87" w:rsidRPr="002C3CC4" w:rsidRDefault="00356E87" w:rsidP="00B83526">
      <w:pPr>
        <w:pStyle w:val="NormalWeb"/>
        <w:rPr>
          <w:rFonts w:ascii="Arial" w:hAnsi="Arial" w:cs="Arial"/>
          <w:bCs/>
          <w:color w:val="1F497D" w:themeColor="text2"/>
          <w:sz w:val="22"/>
          <w:szCs w:val="22"/>
        </w:rPr>
      </w:pPr>
      <w:r w:rsidRPr="002C3CC4">
        <w:rPr>
          <w:rFonts w:ascii="Arial" w:hAnsi="Arial" w:cs="Arial"/>
          <w:bCs/>
          <w:color w:val="1F497D" w:themeColor="text2"/>
          <w:sz w:val="22"/>
          <w:szCs w:val="22"/>
        </w:rPr>
        <w:t xml:space="preserve">2009 </w:t>
      </w:r>
      <w:r w:rsidR="00060953" w:rsidRPr="002C3CC4">
        <w:rPr>
          <w:rFonts w:ascii="Arial" w:hAnsi="Arial" w:cs="Arial"/>
          <w:bCs/>
          <w:color w:val="1F497D" w:themeColor="text2"/>
          <w:sz w:val="22"/>
          <w:szCs w:val="22"/>
        </w:rPr>
        <w:t>- 2010</w:t>
      </w:r>
    </w:p>
    <w:p w:rsidR="00356E87" w:rsidRPr="002C3CC4" w:rsidRDefault="00356E87" w:rsidP="00356E87">
      <w:pPr>
        <w:pStyle w:val="NormalWeb"/>
        <w:numPr>
          <w:ilvl w:val="0"/>
          <w:numId w:val="5"/>
        </w:numPr>
        <w:rPr>
          <w:rFonts w:ascii="Arial" w:hAnsi="Arial" w:cs="Arial"/>
          <w:color w:val="1F497D" w:themeColor="text2"/>
          <w:sz w:val="22"/>
          <w:szCs w:val="22"/>
        </w:rPr>
      </w:pPr>
      <w:r w:rsidRPr="002C3CC4">
        <w:rPr>
          <w:rFonts w:ascii="Arial" w:hAnsi="Arial" w:cs="Arial"/>
          <w:bCs/>
          <w:color w:val="1F497D" w:themeColor="text2"/>
          <w:sz w:val="22"/>
          <w:szCs w:val="22"/>
        </w:rPr>
        <w:t>Large French Telecoms equipment company – Led TPI team to</w:t>
      </w:r>
      <w:r w:rsidR="00F3564F" w:rsidRPr="002C3CC4">
        <w:rPr>
          <w:rFonts w:ascii="Arial" w:hAnsi="Arial" w:cs="Arial"/>
          <w:bCs/>
          <w:color w:val="1F497D" w:themeColor="text2"/>
          <w:sz w:val="22"/>
          <w:szCs w:val="22"/>
        </w:rPr>
        <w:t xml:space="preserve"> </w:t>
      </w:r>
      <w:r w:rsidR="0085798C" w:rsidRPr="002C3CC4">
        <w:rPr>
          <w:rFonts w:ascii="Arial" w:hAnsi="Arial" w:cs="Arial"/>
          <w:bCs/>
          <w:color w:val="1F497D" w:themeColor="text2"/>
          <w:sz w:val="22"/>
          <w:szCs w:val="22"/>
        </w:rPr>
        <w:t>successfully</w:t>
      </w:r>
      <w:r w:rsidRPr="002C3CC4">
        <w:rPr>
          <w:rFonts w:ascii="Arial" w:hAnsi="Arial" w:cs="Arial"/>
          <w:bCs/>
          <w:color w:val="1F497D" w:themeColor="text2"/>
          <w:sz w:val="22"/>
          <w:szCs w:val="22"/>
        </w:rPr>
        <w:t xml:space="preserve"> </w:t>
      </w:r>
      <w:r w:rsidR="00F3564F" w:rsidRPr="002C3CC4">
        <w:rPr>
          <w:rFonts w:ascii="Arial" w:hAnsi="Arial" w:cs="Arial"/>
          <w:bCs/>
          <w:color w:val="1F497D" w:themeColor="text2"/>
          <w:sz w:val="22"/>
          <w:szCs w:val="22"/>
        </w:rPr>
        <w:t>recover a failing</w:t>
      </w:r>
      <w:r w:rsidR="005C7BC5" w:rsidRPr="002C3CC4">
        <w:rPr>
          <w:rFonts w:ascii="Arial" w:hAnsi="Arial" w:cs="Arial"/>
          <w:bCs/>
          <w:color w:val="1F497D" w:themeColor="text2"/>
          <w:sz w:val="22"/>
          <w:szCs w:val="22"/>
        </w:rPr>
        <w:t xml:space="preserve"> </w:t>
      </w:r>
      <w:r w:rsidR="005C7BC5" w:rsidRPr="002C3CC4">
        <w:rPr>
          <w:rFonts w:ascii="Arial" w:hAnsi="Arial" w:cs="Arial"/>
          <w:color w:val="1F497D" w:themeColor="text2"/>
          <w:sz w:val="22"/>
          <w:szCs w:val="22"/>
        </w:rPr>
        <w:t>full scope IT sole source transaction (largest deal in 2009)</w:t>
      </w:r>
      <w:r w:rsidR="000B028B" w:rsidRPr="002C3CC4">
        <w:rPr>
          <w:rFonts w:ascii="Arial" w:hAnsi="Arial" w:cs="Arial"/>
          <w:color w:val="1F497D" w:themeColor="text2"/>
          <w:sz w:val="22"/>
          <w:szCs w:val="22"/>
        </w:rPr>
        <w:t xml:space="preserve"> – TCV  $2.5bn</w:t>
      </w:r>
    </w:p>
    <w:p w:rsidR="005C7BC5" w:rsidRPr="002C3CC4" w:rsidRDefault="005C7BC5" w:rsidP="00356E87">
      <w:pPr>
        <w:pStyle w:val="NormalWeb"/>
        <w:numPr>
          <w:ilvl w:val="0"/>
          <w:numId w:val="5"/>
        </w:numPr>
        <w:rPr>
          <w:rFonts w:ascii="Arial" w:hAnsi="Arial" w:cs="Arial"/>
          <w:color w:val="1F497D" w:themeColor="text2"/>
          <w:sz w:val="22"/>
          <w:szCs w:val="22"/>
        </w:rPr>
      </w:pPr>
      <w:r w:rsidRPr="002C3CC4">
        <w:rPr>
          <w:rFonts w:ascii="Arial" w:hAnsi="Arial" w:cs="Arial"/>
          <w:color w:val="1F497D" w:themeColor="text2"/>
          <w:sz w:val="22"/>
          <w:szCs w:val="22"/>
        </w:rPr>
        <w:t xml:space="preserve">Global retailer based in Sweden – Supervised TPI team defining sourcing strategy with ongoing follow-up </w:t>
      </w:r>
      <w:r w:rsidR="00891B78" w:rsidRPr="002C3CC4">
        <w:rPr>
          <w:rFonts w:ascii="Arial" w:hAnsi="Arial" w:cs="Arial"/>
          <w:color w:val="1F497D" w:themeColor="text2"/>
          <w:sz w:val="22"/>
          <w:szCs w:val="22"/>
        </w:rPr>
        <w:t>engagements</w:t>
      </w:r>
      <w:r w:rsidRPr="002C3CC4">
        <w:rPr>
          <w:rFonts w:ascii="Arial" w:hAnsi="Arial" w:cs="Arial"/>
          <w:color w:val="1F497D" w:themeColor="text2"/>
          <w:sz w:val="22"/>
          <w:szCs w:val="22"/>
        </w:rPr>
        <w:t xml:space="preserve"> for several TPI teams during 2010</w:t>
      </w:r>
      <w:r w:rsidR="0077540D" w:rsidRPr="002C3CC4">
        <w:rPr>
          <w:rFonts w:ascii="Arial" w:hAnsi="Arial" w:cs="Arial"/>
          <w:color w:val="1F497D" w:themeColor="text2"/>
          <w:sz w:val="22"/>
          <w:szCs w:val="22"/>
        </w:rPr>
        <w:t>/11</w:t>
      </w:r>
      <w:r w:rsidR="00891B78" w:rsidRPr="002C3CC4">
        <w:rPr>
          <w:rFonts w:ascii="Arial" w:hAnsi="Arial" w:cs="Arial"/>
          <w:color w:val="1F497D" w:themeColor="text2"/>
          <w:sz w:val="22"/>
          <w:szCs w:val="22"/>
        </w:rPr>
        <w:t xml:space="preserve"> – TCV $2bn</w:t>
      </w:r>
    </w:p>
    <w:p w:rsidR="00AB3863" w:rsidRPr="002C3CC4" w:rsidRDefault="00AB3863" w:rsidP="00356E87">
      <w:pPr>
        <w:pStyle w:val="NormalWeb"/>
        <w:numPr>
          <w:ilvl w:val="0"/>
          <w:numId w:val="5"/>
        </w:numPr>
        <w:rPr>
          <w:rFonts w:ascii="Arial" w:hAnsi="Arial" w:cs="Arial"/>
          <w:color w:val="1F497D" w:themeColor="text2"/>
          <w:sz w:val="22"/>
          <w:szCs w:val="22"/>
        </w:rPr>
      </w:pPr>
      <w:r w:rsidRPr="002C3CC4">
        <w:rPr>
          <w:rFonts w:ascii="Arial" w:hAnsi="Arial" w:cs="Arial"/>
          <w:color w:val="1F497D" w:themeColor="text2"/>
          <w:sz w:val="22"/>
          <w:szCs w:val="22"/>
        </w:rPr>
        <w:t>One of the UK’s largest Government departments – led TPI team activities to collab</w:t>
      </w:r>
      <w:r w:rsidR="00904114" w:rsidRPr="002C3CC4">
        <w:rPr>
          <w:rFonts w:ascii="Arial" w:hAnsi="Arial" w:cs="Arial"/>
          <w:color w:val="1F497D" w:themeColor="text2"/>
          <w:sz w:val="22"/>
          <w:szCs w:val="22"/>
        </w:rPr>
        <w:t>orate with a big 4 consulting fi</w:t>
      </w:r>
      <w:r w:rsidRPr="002C3CC4">
        <w:rPr>
          <w:rFonts w:ascii="Arial" w:hAnsi="Arial" w:cs="Arial"/>
          <w:color w:val="1F497D" w:themeColor="text2"/>
          <w:sz w:val="22"/>
          <w:szCs w:val="22"/>
        </w:rPr>
        <w:t>rm to renegotiate an existing transaction</w:t>
      </w:r>
      <w:r w:rsidR="00891B78" w:rsidRPr="002C3CC4">
        <w:rPr>
          <w:rFonts w:ascii="Arial" w:hAnsi="Arial" w:cs="Arial"/>
          <w:color w:val="1F497D" w:themeColor="text2"/>
          <w:sz w:val="22"/>
          <w:szCs w:val="22"/>
        </w:rPr>
        <w:t xml:space="preserve"> – TCV - $2bn</w:t>
      </w:r>
    </w:p>
    <w:p w:rsidR="005C7BC5" w:rsidRPr="002C3CC4" w:rsidRDefault="00060953" w:rsidP="00B83526">
      <w:pPr>
        <w:pStyle w:val="NormalWeb"/>
        <w:rPr>
          <w:rFonts w:ascii="Arial" w:hAnsi="Arial" w:cs="Arial"/>
          <w:bCs/>
          <w:color w:val="1F497D" w:themeColor="text2"/>
          <w:sz w:val="22"/>
          <w:szCs w:val="22"/>
        </w:rPr>
      </w:pPr>
      <w:r w:rsidRPr="002C3CC4">
        <w:rPr>
          <w:rFonts w:ascii="Arial" w:hAnsi="Arial" w:cs="Arial"/>
          <w:bCs/>
          <w:color w:val="1F497D" w:themeColor="text2"/>
          <w:sz w:val="22"/>
          <w:szCs w:val="22"/>
        </w:rPr>
        <w:t xml:space="preserve">2007 - </w:t>
      </w:r>
      <w:r w:rsidR="005C7BC5" w:rsidRPr="002C3CC4">
        <w:rPr>
          <w:rFonts w:ascii="Arial" w:hAnsi="Arial" w:cs="Arial"/>
          <w:bCs/>
          <w:color w:val="1F497D" w:themeColor="text2"/>
          <w:sz w:val="22"/>
          <w:szCs w:val="22"/>
        </w:rPr>
        <w:t>2008</w:t>
      </w:r>
    </w:p>
    <w:p w:rsidR="00060953" w:rsidRPr="002C3CC4" w:rsidRDefault="00060953" w:rsidP="0077540D">
      <w:pPr>
        <w:pStyle w:val="NormalWeb"/>
        <w:numPr>
          <w:ilvl w:val="0"/>
          <w:numId w:val="6"/>
        </w:numPr>
        <w:spacing w:after="240" w:afterAutospacing="0"/>
        <w:ind w:left="714" w:hanging="357"/>
        <w:rPr>
          <w:rFonts w:ascii="Arial" w:hAnsi="Arial" w:cs="Arial"/>
          <w:color w:val="1F497D" w:themeColor="text2"/>
          <w:sz w:val="22"/>
          <w:szCs w:val="22"/>
        </w:rPr>
      </w:pPr>
      <w:r w:rsidRPr="002C3CC4">
        <w:rPr>
          <w:rFonts w:ascii="Arial" w:hAnsi="Arial" w:cs="Arial"/>
          <w:bCs/>
          <w:color w:val="1F497D" w:themeColor="text2"/>
          <w:sz w:val="22"/>
          <w:szCs w:val="22"/>
        </w:rPr>
        <w:t xml:space="preserve">NL based Oil &amp; Gas Company – Led TPI team to implement one of the world’s largest IT Infrastructure outsourcing projects consisting of three deals to three suppliers running concurrently involving the transfer of </w:t>
      </w:r>
      <w:r w:rsidR="0077540D" w:rsidRPr="002C3CC4">
        <w:rPr>
          <w:rFonts w:ascii="Arial" w:hAnsi="Arial" w:cs="Arial"/>
          <w:bCs/>
          <w:color w:val="1F497D" w:themeColor="text2"/>
          <w:sz w:val="22"/>
          <w:szCs w:val="22"/>
        </w:rPr>
        <w:t>approx.</w:t>
      </w:r>
      <w:r w:rsidRPr="002C3CC4">
        <w:rPr>
          <w:rFonts w:ascii="Arial" w:hAnsi="Arial" w:cs="Arial"/>
          <w:bCs/>
          <w:color w:val="1F497D" w:themeColor="text2"/>
          <w:sz w:val="22"/>
          <w:szCs w:val="22"/>
        </w:rPr>
        <w:t xml:space="preserve"> 3000 staff in 175 countries. Despite the clients’ multibillion dollar investment in projects each year, this project was acknowledged by the client and industry analysts as one of the best performing projects exceeding the business case expectations while delivering what is still regarded as one of the most innovative multi-supplier agreements in the industry. TCV $5bn</w:t>
      </w:r>
    </w:p>
    <w:p w:rsidR="005C7BC5" w:rsidRPr="002C3CC4" w:rsidRDefault="005C7BC5" w:rsidP="005C7BC5">
      <w:pPr>
        <w:pStyle w:val="NormalWeb"/>
        <w:numPr>
          <w:ilvl w:val="0"/>
          <w:numId w:val="6"/>
        </w:numPr>
        <w:rPr>
          <w:rFonts w:ascii="Arial" w:hAnsi="Arial" w:cs="Arial"/>
          <w:color w:val="1F497D" w:themeColor="text2"/>
          <w:sz w:val="22"/>
          <w:szCs w:val="22"/>
        </w:rPr>
      </w:pPr>
      <w:r w:rsidRPr="002C3CC4">
        <w:rPr>
          <w:rFonts w:ascii="Arial" w:hAnsi="Arial" w:cs="Arial"/>
          <w:bCs/>
          <w:color w:val="1F497D" w:themeColor="text2"/>
          <w:sz w:val="22"/>
          <w:szCs w:val="22"/>
        </w:rPr>
        <w:t>Global beer Company – Supervised TPI teams advising on several ITO and BPO transactions</w:t>
      </w:r>
      <w:r w:rsidR="00AB3863" w:rsidRPr="002C3CC4">
        <w:rPr>
          <w:rFonts w:ascii="Arial" w:hAnsi="Arial" w:cs="Arial"/>
          <w:bCs/>
          <w:color w:val="1F497D" w:themeColor="text2"/>
          <w:sz w:val="22"/>
          <w:szCs w:val="22"/>
        </w:rPr>
        <w:t xml:space="preserve"> </w:t>
      </w:r>
      <w:r w:rsidR="00AB3863" w:rsidRPr="002C3CC4">
        <w:rPr>
          <w:rFonts w:ascii="Arial" w:hAnsi="Arial" w:cs="Arial"/>
          <w:color w:val="1F497D" w:themeColor="text2"/>
          <w:sz w:val="22"/>
          <w:szCs w:val="22"/>
        </w:rPr>
        <w:t>and responsible for strategic advice on key matters</w:t>
      </w:r>
      <w:r w:rsidR="000B028B" w:rsidRPr="002C3CC4">
        <w:rPr>
          <w:rFonts w:ascii="Arial" w:hAnsi="Arial" w:cs="Arial"/>
          <w:color w:val="1F497D" w:themeColor="text2"/>
          <w:sz w:val="22"/>
          <w:szCs w:val="22"/>
        </w:rPr>
        <w:t xml:space="preserve"> – TCV $1bn</w:t>
      </w:r>
    </w:p>
    <w:p w:rsidR="00891B78" w:rsidRPr="002C3CC4" w:rsidRDefault="005C7BC5" w:rsidP="00060953">
      <w:pPr>
        <w:pStyle w:val="NormalWeb"/>
        <w:numPr>
          <w:ilvl w:val="0"/>
          <w:numId w:val="6"/>
        </w:numPr>
        <w:rPr>
          <w:rFonts w:ascii="Arial" w:hAnsi="Arial" w:cs="Arial"/>
          <w:color w:val="1F497D" w:themeColor="text2"/>
          <w:sz w:val="22"/>
          <w:szCs w:val="22"/>
        </w:rPr>
      </w:pPr>
      <w:r w:rsidRPr="002C3CC4">
        <w:rPr>
          <w:rFonts w:ascii="Arial" w:hAnsi="Arial" w:cs="Arial"/>
          <w:bCs/>
          <w:color w:val="1F497D" w:themeColor="text2"/>
          <w:sz w:val="22"/>
          <w:szCs w:val="22"/>
        </w:rPr>
        <w:t>UK based global Oil &amp; Gas Company</w:t>
      </w:r>
      <w:r w:rsidRPr="002C3CC4">
        <w:rPr>
          <w:rFonts w:ascii="Arial" w:hAnsi="Arial" w:cs="Arial"/>
          <w:color w:val="1F497D" w:themeColor="text2"/>
          <w:sz w:val="22"/>
          <w:szCs w:val="22"/>
        </w:rPr>
        <w:t xml:space="preserve"> – </w:t>
      </w:r>
      <w:r w:rsidR="0077540D" w:rsidRPr="002C3CC4">
        <w:rPr>
          <w:rFonts w:ascii="Arial" w:hAnsi="Arial" w:cs="Arial"/>
          <w:color w:val="1F497D" w:themeColor="text2"/>
          <w:sz w:val="22"/>
          <w:szCs w:val="22"/>
        </w:rPr>
        <w:t>Led</w:t>
      </w:r>
      <w:r w:rsidRPr="002C3CC4">
        <w:rPr>
          <w:rFonts w:ascii="Arial" w:hAnsi="Arial" w:cs="Arial"/>
          <w:color w:val="1F497D" w:themeColor="text2"/>
          <w:sz w:val="22"/>
          <w:szCs w:val="22"/>
        </w:rPr>
        <w:t xml:space="preserve"> TPI teams advising on multiple transactions and responsible for strategic advice on key </w:t>
      </w:r>
      <w:r w:rsidR="001B1492" w:rsidRPr="002C3CC4">
        <w:rPr>
          <w:rFonts w:ascii="Arial" w:hAnsi="Arial" w:cs="Arial"/>
          <w:color w:val="1F497D" w:themeColor="text2"/>
          <w:sz w:val="22"/>
          <w:szCs w:val="22"/>
        </w:rPr>
        <w:t>sourcing challenges</w:t>
      </w:r>
      <w:r w:rsidR="000B028B" w:rsidRPr="002C3CC4">
        <w:rPr>
          <w:rFonts w:ascii="Arial" w:hAnsi="Arial" w:cs="Arial"/>
          <w:color w:val="1F497D" w:themeColor="text2"/>
          <w:sz w:val="22"/>
          <w:szCs w:val="22"/>
        </w:rPr>
        <w:t xml:space="preserve"> – TCV $2bn</w:t>
      </w:r>
    </w:p>
    <w:p w:rsidR="00AB3863" w:rsidRPr="002C3CC4" w:rsidRDefault="00AB3863" w:rsidP="00AB3863">
      <w:pPr>
        <w:pStyle w:val="NormalWeb"/>
        <w:rPr>
          <w:rFonts w:ascii="Arial" w:hAnsi="Arial" w:cs="Arial"/>
          <w:color w:val="1F497D" w:themeColor="text2"/>
          <w:sz w:val="22"/>
          <w:szCs w:val="22"/>
        </w:rPr>
      </w:pPr>
      <w:r w:rsidRPr="002C3CC4">
        <w:rPr>
          <w:rFonts w:ascii="Arial" w:hAnsi="Arial" w:cs="Arial"/>
          <w:color w:val="1F497D" w:themeColor="text2"/>
          <w:sz w:val="22"/>
          <w:szCs w:val="22"/>
        </w:rPr>
        <w:t>Others</w:t>
      </w:r>
    </w:p>
    <w:p w:rsidR="00AB3863" w:rsidRPr="002C3CC4" w:rsidRDefault="00AB3863" w:rsidP="005C7BC5">
      <w:pPr>
        <w:pStyle w:val="NormalWeb"/>
        <w:numPr>
          <w:ilvl w:val="0"/>
          <w:numId w:val="6"/>
        </w:numPr>
        <w:rPr>
          <w:rFonts w:ascii="Arial" w:hAnsi="Arial" w:cs="Arial"/>
          <w:color w:val="1F497D" w:themeColor="text2"/>
          <w:sz w:val="22"/>
          <w:szCs w:val="22"/>
        </w:rPr>
      </w:pPr>
      <w:r w:rsidRPr="002C3CC4">
        <w:rPr>
          <w:rFonts w:ascii="Arial" w:hAnsi="Arial" w:cs="Arial"/>
          <w:color w:val="1F497D" w:themeColor="text2"/>
          <w:sz w:val="22"/>
          <w:szCs w:val="22"/>
        </w:rPr>
        <w:t>2005/06, UK Based Aerospace &amp; Defense company – Led TPI team activities to renegotiate large scale ITO deal</w:t>
      </w:r>
      <w:r w:rsidR="001B1492" w:rsidRPr="002C3CC4">
        <w:rPr>
          <w:rFonts w:ascii="Arial" w:hAnsi="Arial" w:cs="Arial"/>
          <w:color w:val="1F497D" w:themeColor="text2"/>
          <w:sz w:val="22"/>
          <w:szCs w:val="22"/>
        </w:rPr>
        <w:t xml:space="preserve">. </w:t>
      </w:r>
      <w:r w:rsidR="000B028B" w:rsidRPr="002C3CC4">
        <w:rPr>
          <w:rFonts w:ascii="Arial" w:hAnsi="Arial" w:cs="Arial"/>
          <w:color w:val="1F497D" w:themeColor="text2"/>
          <w:sz w:val="22"/>
          <w:szCs w:val="22"/>
        </w:rPr>
        <w:t>TCV $2.5bn</w:t>
      </w:r>
    </w:p>
    <w:p w:rsidR="00AB3863" w:rsidRPr="002C3CC4" w:rsidRDefault="00AB3863" w:rsidP="005C7BC5">
      <w:pPr>
        <w:pStyle w:val="NormalWeb"/>
        <w:numPr>
          <w:ilvl w:val="0"/>
          <w:numId w:val="6"/>
        </w:numPr>
        <w:rPr>
          <w:rFonts w:ascii="Arial" w:hAnsi="Arial" w:cs="Arial"/>
          <w:color w:val="1F497D" w:themeColor="text2"/>
          <w:sz w:val="22"/>
          <w:szCs w:val="22"/>
        </w:rPr>
      </w:pPr>
      <w:r w:rsidRPr="002C3CC4">
        <w:rPr>
          <w:rFonts w:ascii="Arial" w:hAnsi="Arial" w:cs="Arial"/>
          <w:color w:val="1F497D" w:themeColor="text2"/>
          <w:sz w:val="22"/>
          <w:szCs w:val="22"/>
        </w:rPr>
        <w:lastRenderedPageBreak/>
        <w:t xml:space="preserve">2004, UK Based Utilities </w:t>
      </w:r>
      <w:r w:rsidR="0077540D" w:rsidRPr="002C3CC4">
        <w:rPr>
          <w:rFonts w:ascii="Arial" w:hAnsi="Arial" w:cs="Arial"/>
          <w:color w:val="1F497D" w:themeColor="text2"/>
          <w:sz w:val="22"/>
          <w:szCs w:val="22"/>
        </w:rPr>
        <w:t xml:space="preserve">(Grid) </w:t>
      </w:r>
      <w:r w:rsidRPr="002C3CC4">
        <w:rPr>
          <w:rFonts w:ascii="Arial" w:hAnsi="Arial" w:cs="Arial"/>
          <w:color w:val="1F497D" w:themeColor="text2"/>
          <w:sz w:val="22"/>
          <w:szCs w:val="22"/>
        </w:rPr>
        <w:t>company – full ITO transaction</w:t>
      </w:r>
      <w:r w:rsidR="00425EC2" w:rsidRPr="002C3CC4">
        <w:rPr>
          <w:rFonts w:ascii="Arial" w:hAnsi="Arial" w:cs="Arial"/>
          <w:color w:val="1F497D" w:themeColor="text2"/>
          <w:sz w:val="22"/>
          <w:szCs w:val="22"/>
        </w:rPr>
        <w:t xml:space="preserve"> to support the integration of two merged companies</w:t>
      </w:r>
      <w:r w:rsidR="000B028B" w:rsidRPr="002C3CC4">
        <w:rPr>
          <w:rFonts w:ascii="Arial" w:hAnsi="Arial" w:cs="Arial"/>
          <w:color w:val="1F497D" w:themeColor="text2"/>
          <w:sz w:val="22"/>
          <w:szCs w:val="22"/>
        </w:rPr>
        <w:t xml:space="preserve"> – TCV $2bn</w:t>
      </w:r>
    </w:p>
    <w:p w:rsidR="00425EC2" w:rsidRPr="002C3CC4" w:rsidRDefault="00425EC2" w:rsidP="00425EC2">
      <w:pPr>
        <w:pStyle w:val="NormalWeb"/>
        <w:numPr>
          <w:ilvl w:val="0"/>
          <w:numId w:val="6"/>
        </w:numPr>
        <w:rPr>
          <w:rFonts w:ascii="Arial" w:hAnsi="Arial" w:cs="Arial"/>
          <w:color w:val="1F497D" w:themeColor="text2"/>
          <w:sz w:val="22"/>
          <w:szCs w:val="22"/>
        </w:rPr>
      </w:pPr>
      <w:r w:rsidRPr="002C3CC4">
        <w:rPr>
          <w:rFonts w:ascii="Arial" w:hAnsi="Arial" w:cs="Arial"/>
          <w:color w:val="1F497D" w:themeColor="text2"/>
          <w:sz w:val="22"/>
          <w:szCs w:val="22"/>
        </w:rPr>
        <w:t>2003 Global consumer products company – renegotiation related to complex acquisition in Germany</w:t>
      </w:r>
      <w:r w:rsidR="0077540D" w:rsidRPr="002C3CC4">
        <w:rPr>
          <w:rFonts w:ascii="Arial" w:hAnsi="Arial" w:cs="Arial"/>
          <w:color w:val="1F497D" w:themeColor="text2"/>
          <w:sz w:val="22"/>
          <w:szCs w:val="22"/>
        </w:rPr>
        <w:t xml:space="preserve"> – TCV $1bn</w:t>
      </w:r>
    </w:p>
    <w:p w:rsidR="00AB3863" w:rsidRPr="002C3CC4" w:rsidRDefault="00425EC2" w:rsidP="005C7BC5">
      <w:pPr>
        <w:pStyle w:val="NormalWeb"/>
        <w:numPr>
          <w:ilvl w:val="0"/>
          <w:numId w:val="6"/>
        </w:numPr>
        <w:rPr>
          <w:rFonts w:ascii="Arial" w:hAnsi="Arial" w:cs="Arial"/>
          <w:color w:val="1F497D" w:themeColor="text2"/>
          <w:sz w:val="22"/>
          <w:szCs w:val="22"/>
        </w:rPr>
      </w:pPr>
      <w:r w:rsidRPr="002C3CC4">
        <w:rPr>
          <w:rFonts w:ascii="Arial" w:hAnsi="Arial" w:cs="Arial"/>
          <w:color w:val="1F497D" w:themeColor="text2"/>
          <w:sz w:val="22"/>
          <w:szCs w:val="22"/>
        </w:rPr>
        <w:t xml:space="preserve">2002 </w:t>
      </w:r>
      <w:r w:rsidR="00AB3863" w:rsidRPr="002C3CC4">
        <w:rPr>
          <w:rFonts w:ascii="Arial" w:hAnsi="Arial" w:cs="Arial"/>
          <w:color w:val="1F497D" w:themeColor="text2"/>
          <w:sz w:val="22"/>
          <w:szCs w:val="22"/>
        </w:rPr>
        <w:t>Germany based transportation manufacturer – full ITO transaction</w:t>
      </w:r>
      <w:r w:rsidRPr="002C3CC4">
        <w:rPr>
          <w:rFonts w:ascii="Arial" w:hAnsi="Arial" w:cs="Arial"/>
          <w:color w:val="1F497D" w:themeColor="text2"/>
          <w:sz w:val="22"/>
          <w:szCs w:val="22"/>
        </w:rPr>
        <w:t xml:space="preserve"> to support the integration of multiple acquisitions</w:t>
      </w:r>
      <w:r w:rsidR="000B028B" w:rsidRPr="002C3CC4">
        <w:rPr>
          <w:rFonts w:ascii="Arial" w:hAnsi="Arial" w:cs="Arial"/>
          <w:color w:val="1F497D" w:themeColor="text2"/>
          <w:sz w:val="22"/>
          <w:szCs w:val="22"/>
        </w:rPr>
        <w:t xml:space="preserve"> – TCV 2bn</w:t>
      </w:r>
    </w:p>
    <w:p w:rsidR="00335362" w:rsidRPr="002C3CC4" w:rsidRDefault="00335362" w:rsidP="00335362">
      <w:pPr>
        <w:pStyle w:val="NormalWeb"/>
        <w:rPr>
          <w:rFonts w:ascii="Arial" w:hAnsi="Arial" w:cs="Arial"/>
          <w:color w:val="1F497D" w:themeColor="text2"/>
          <w:sz w:val="22"/>
          <w:szCs w:val="22"/>
        </w:rPr>
      </w:pPr>
    </w:p>
    <w:p w:rsidR="00335362" w:rsidRPr="002C3CC4" w:rsidRDefault="00AE4F0F" w:rsidP="00D446EA">
      <w:pPr>
        <w:pStyle w:val="NormalWeb"/>
        <w:rPr>
          <w:rFonts w:ascii="Microsoft Sans Serif" w:hAnsi="Microsoft Sans Serif" w:cs="Microsoft Sans Serif"/>
          <w:color w:val="1F497D" w:themeColor="text2"/>
          <w:szCs w:val="20"/>
        </w:rPr>
      </w:pPr>
      <w:r w:rsidRPr="002C3CC4">
        <w:rPr>
          <w:rStyle w:val="copy1"/>
          <w:rFonts w:ascii="Microsoft Sans Serif" w:hAnsi="Microsoft Sans Serif" w:cs="Microsoft Sans Serif"/>
          <w:b/>
          <w:color w:val="1F497D" w:themeColor="text2"/>
          <w:sz w:val="24"/>
          <w:szCs w:val="20"/>
        </w:rPr>
        <w:t xml:space="preserve">Halifax </w:t>
      </w:r>
      <w:r w:rsidR="00335362" w:rsidRPr="002C3CC4">
        <w:rPr>
          <w:rStyle w:val="copy1"/>
          <w:rFonts w:ascii="Microsoft Sans Serif" w:hAnsi="Microsoft Sans Serif" w:cs="Microsoft Sans Serif"/>
          <w:b/>
          <w:color w:val="1F497D" w:themeColor="text2"/>
          <w:sz w:val="24"/>
          <w:szCs w:val="20"/>
        </w:rPr>
        <w:t>Wholesale Banking (1999 – 2001) - Head of Infrastructure</w:t>
      </w:r>
      <w:r w:rsidR="0077540D" w:rsidRPr="002C3CC4">
        <w:rPr>
          <w:rStyle w:val="copy1"/>
          <w:rFonts w:ascii="Microsoft Sans Serif" w:hAnsi="Microsoft Sans Serif" w:cs="Microsoft Sans Serif"/>
          <w:b/>
          <w:color w:val="1F497D" w:themeColor="text2"/>
          <w:sz w:val="24"/>
          <w:szCs w:val="20"/>
        </w:rPr>
        <w:t xml:space="preserve"> </w:t>
      </w:r>
      <w:r w:rsidR="0077540D" w:rsidRPr="002C3CC4">
        <w:rPr>
          <w:rStyle w:val="copy1"/>
          <w:rFonts w:ascii="Microsoft Sans Serif" w:hAnsi="Microsoft Sans Serif" w:cs="Microsoft Sans Serif"/>
          <w:color w:val="1F497D" w:themeColor="text2"/>
          <w:sz w:val="24"/>
          <w:szCs w:val="20"/>
        </w:rPr>
        <w:t>– focused on supporting the establishment of HWB trading floor environment and establishing services arrangements from corporate IT.</w:t>
      </w:r>
    </w:p>
    <w:p w:rsidR="003714B1" w:rsidRPr="002C3CC4" w:rsidRDefault="00335362" w:rsidP="00D446EA">
      <w:pPr>
        <w:pStyle w:val="NormalWeb"/>
        <w:rPr>
          <w:rFonts w:ascii="Microsoft Sans Serif" w:hAnsi="Microsoft Sans Serif" w:cs="Microsoft Sans Serif"/>
          <w:color w:val="1F497D" w:themeColor="text2"/>
          <w:szCs w:val="20"/>
        </w:rPr>
      </w:pPr>
      <w:r w:rsidRPr="002C3CC4">
        <w:rPr>
          <w:rStyle w:val="copy1"/>
          <w:rFonts w:ascii="Microsoft Sans Serif" w:hAnsi="Microsoft Sans Serif" w:cs="Microsoft Sans Serif"/>
          <w:b/>
          <w:color w:val="1F497D" w:themeColor="text2"/>
          <w:sz w:val="24"/>
          <w:szCs w:val="20"/>
        </w:rPr>
        <w:t>JP Morgan (1994 – 1999, including CSC) – VP, Technology</w:t>
      </w:r>
      <w:r w:rsidR="0077540D" w:rsidRPr="002C3CC4">
        <w:rPr>
          <w:rStyle w:val="copy1"/>
          <w:rFonts w:ascii="Microsoft Sans Serif" w:hAnsi="Microsoft Sans Serif" w:cs="Microsoft Sans Serif"/>
          <w:b/>
          <w:color w:val="1F497D" w:themeColor="text2"/>
          <w:sz w:val="24"/>
          <w:szCs w:val="20"/>
        </w:rPr>
        <w:t xml:space="preserve"> – </w:t>
      </w:r>
      <w:r w:rsidR="0077540D" w:rsidRPr="002C3CC4">
        <w:rPr>
          <w:rStyle w:val="copy1"/>
          <w:rFonts w:ascii="Microsoft Sans Serif" w:hAnsi="Microsoft Sans Serif" w:cs="Microsoft Sans Serif"/>
          <w:color w:val="1F497D" w:themeColor="text2"/>
          <w:sz w:val="24"/>
          <w:szCs w:val="20"/>
        </w:rPr>
        <w:t xml:space="preserve">Initially responsible for setting up an IT function to support emerging client/server environments; </w:t>
      </w:r>
      <w:r w:rsidR="00DC4C36" w:rsidRPr="002C3CC4">
        <w:rPr>
          <w:rStyle w:val="copy1"/>
          <w:rFonts w:ascii="Microsoft Sans Serif" w:hAnsi="Microsoft Sans Serif" w:cs="Microsoft Sans Serif"/>
          <w:color w:val="1F497D" w:themeColor="text2"/>
          <w:sz w:val="24"/>
          <w:szCs w:val="20"/>
        </w:rPr>
        <w:t>implemented</w:t>
      </w:r>
      <w:r w:rsidR="0077540D" w:rsidRPr="002C3CC4">
        <w:rPr>
          <w:rStyle w:val="copy1"/>
          <w:rFonts w:ascii="Microsoft Sans Serif" w:hAnsi="Microsoft Sans Serif" w:cs="Microsoft Sans Serif"/>
          <w:color w:val="1F497D" w:themeColor="text2"/>
          <w:sz w:val="24"/>
          <w:szCs w:val="20"/>
        </w:rPr>
        <w:t xml:space="preserve"> the outsourcing program and managed the Fixed income IT services environment in London and NY that included two trading floors each with over a 1000 positions.</w:t>
      </w:r>
    </w:p>
    <w:p w:rsidR="001E272B" w:rsidRPr="002C3CC4" w:rsidRDefault="007F27F1" w:rsidP="00D446EA">
      <w:pPr>
        <w:pStyle w:val="NormalWeb"/>
        <w:rPr>
          <w:rStyle w:val="copy1"/>
          <w:rFonts w:ascii="Microsoft Sans Serif" w:hAnsi="Microsoft Sans Serif" w:cs="Microsoft Sans Serif"/>
          <w:color w:val="1F497D" w:themeColor="text2"/>
          <w:sz w:val="24"/>
          <w:szCs w:val="20"/>
        </w:rPr>
      </w:pPr>
      <w:r w:rsidRPr="002C3CC4">
        <w:rPr>
          <w:rStyle w:val="copy1"/>
          <w:rFonts w:ascii="Microsoft Sans Serif" w:hAnsi="Microsoft Sans Serif" w:cs="Microsoft Sans Serif"/>
          <w:b/>
          <w:color w:val="1F497D" w:themeColor="text2"/>
          <w:sz w:val="24"/>
          <w:szCs w:val="20"/>
        </w:rPr>
        <w:t xml:space="preserve">Sun Microsystems Ltd (1987 – 1994) – European Head of </w:t>
      </w:r>
      <w:r w:rsidR="0077540D" w:rsidRPr="002C3CC4">
        <w:rPr>
          <w:rStyle w:val="copy1"/>
          <w:rFonts w:ascii="Microsoft Sans Serif" w:hAnsi="Microsoft Sans Serif" w:cs="Microsoft Sans Serif"/>
          <w:b/>
          <w:color w:val="1F497D" w:themeColor="text2"/>
          <w:sz w:val="24"/>
          <w:szCs w:val="20"/>
        </w:rPr>
        <w:t xml:space="preserve">Infrastructure – </w:t>
      </w:r>
      <w:r w:rsidR="0077540D" w:rsidRPr="002C3CC4">
        <w:rPr>
          <w:rStyle w:val="copy1"/>
          <w:rFonts w:ascii="Microsoft Sans Serif" w:hAnsi="Microsoft Sans Serif" w:cs="Microsoft Sans Serif"/>
          <w:color w:val="1F497D" w:themeColor="text2"/>
          <w:sz w:val="24"/>
          <w:szCs w:val="20"/>
        </w:rPr>
        <w:t>Joined Sun in startup mode and established the majority of the European IT infrastructure supporting revenue growth from $50m to $7bn</w:t>
      </w:r>
    </w:p>
    <w:p w:rsidR="00EF17A0" w:rsidRPr="002C3CC4" w:rsidRDefault="007F27F1" w:rsidP="00D446EA">
      <w:pPr>
        <w:pStyle w:val="NormalWeb"/>
        <w:rPr>
          <w:rFonts w:ascii="Arial" w:hAnsi="Arial" w:cs="Arial"/>
          <w:color w:val="1F497D" w:themeColor="text2"/>
          <w:sz w:val="22"/>
          <w:szCs w:val="22"/>
        </w:rPr>
      </w:pPr>
      <w:r w:rsidRPr="002C3CC4">
        <w:rPr>
          <w:rStyle w:val="copy1"/>
          <w:rFonts w:ascii="Microsoft Sans Serif" w:hAnsi="Microsoft Sans Serif" w:cs="Microsoft Sans Serif"/>
          <w:b/>
          <w:color w:val="1F497D" w:themeColor="text2"/>
          <w:sz w:val="24"/>
          <w:szCs w:val="20"/>
        </w:rPr>
        <w:t xml:space="preserve">Tullet &amp; Tokyo Forex Ltd (1986 – 1987) - </w:t>
      </w:r>
      <w:r w:rsidR="00DC4C36" w:rsidRPr="002C3CC4">
        <w:rPr>
          <w:rStyle w:val="copy1"/>
          <w:rFonts w:ascii="Microsoft Sans Serif" w:hAnsi="Microsoft Sans Serif" w:cs="Microsoft Sans Serif"/>
          <w:b/>
          <w:color w:val="1F497D" w:themeColor="text2"/>
          <w:sz w:val="24"/>
          <w:szCs w:val="20"/>
        </w:rPr>
        <w:t>IT</w:t>
      </w:r>
      <w:r w:rsidRPr="002C3CC4">
        <w:rPr>
          <w:rStyle w:val="copy1"/>
          <w:rFonts w:ascii="Microsoft Sans Serif" w:hAnsi="Microsoft Sans Serif" w:cs="Microsoft Sans Serif"/>
          <w:b/>
          <w:color w:val="1F497D" w:themeColor="text2"/>
          <w:sz w:val="24"/>
          <w:szCs w:val="20"/>
        </w:rPr>
        <w:t xml:space="preserve"> Manager</w:t>
      </w:r>
      <w:r w:rsidR="0077540D" w:rsidRPr="002C3CC4">
        <w:rPr>
          <w:rStyle w:val="copy1"/>
          <w:rFonts w:ascii="Microsoft Sans Serif" w:hAnsi="Microsoft Sans Serif" w:cs="Microsoft Sans Serif"/>
          <w:b/>
          <w:color w:val="1F497D" w:themeColor="text2"/>
          <w:sz w:val="24"/>
          <w:szCs w:val="20"/>
        </w:rPr>
        <w:t xml:space="preserve"> - </w:t>
      </w:r>
      <w:r w:rsidR="0077540D" w:rsidRPr="002C3CC4">
        <w:rPr>
          <w:rStyle w:val="copy1"/>
          <w:rFonts w:ascii="Microsoft Sans Serif" w:hAnsi="Microsoft Sans Serif" w:cs="Microsoft Sans Serif"/>
          <w:color w:val="1F497D" w:themeColor="text2"/>
          <w:sz w:val="24"/>
          <w:szCs w:val="20"/>
        </w:rPr>
        <w:t>Supported setting up and operation of IT systems in readiness for ‘big bang’</w:t>
      </w:r>
    </w:p>
    <w:p w:rsidR="00B32AB1" w:rsidRPr="002C3CC4" w:rsidRDefault="007F27F1" w:rsidP="00AE4F0F">
      <w:pPr>
        <w:pStyle w:val="NormalWeb"/>
        <w:rPr>
          <w:rFonts w:ascii="Microsoft Sans Serif" w:hAnsi="Microsoft Sans Serif" w:cs="Microsoft Sans Serif"/>
          <w:color w:val="1F497D" w:themeColor="text2"/>
          <w:szCs w:val="20"/>
        </w:rPr>
      </w:pPr>
      <w:r w:rsidRPr="002C3CC4">
        <w:rPr>
          <w:rStyle w:val="copy1"/>
          <w:rFonts w:ascii="Microsoft Sans Serif" w:hAnsi="Microsoft Sans Serif" w:cs="Microsoft Sans Serif"/>
          <w:b/>
          <w:color w:val="1F497D" w:themeColor="text2"/>
          <w:sz w:val="24"/>
          <w:szCs w:val="20"/>
        </w:rPr>
        <w:t xml:space="preserve">Education: </w:t>
      </w:r>
      <w:r w:rsidR="00BF5724" w:rsidRPr="002C3CC4">
        <w:rPr>
          <w:rStyle w:val="copy1"/>
          <w:rFonts w:ascii="Microsoft Sans Serif" w:hAnsi="Microsoft Sans Serif" w:cs="Microsoft Sans Serif"/>
          <w:color w:val="1F497D" w:themeColor="text2"/>
          <w:sz w:val="24"/>
          <w:szCs w:val="20"/>
        </w:rPr>
        <w:t>Educated to A-l</w:t>
      </w:r>
      <w:r w:rsidRPr="002C3CC4">
        <w:rPr>
          <w:rStyle w:val="copy1"/>
          <w:rFonts w:ascii="Microsoft Sans Serif" w:hAnsi="Microsoft Sans Serif" w:cs="Microsoft Sans Serif"/>
          <w:color w:val="1F497D" w:themeColor="text2"/>
          <w:sz w:val="24"/>
          <w:szCs w:val="20"/>
        </w:rPr>
        <w:t>evels (Maths, Biology and Statistics)</w:t>
      </w:r>
      <w:r w:rsidR="00B32AB1" w:rsidRPr="002C3CC4">
        <w:rPr>
          <w:rStyle w:val="copy1"/>
          <w:rFonts w:ascii="Microsoft Sans Serif" w:hAnsi="Microsoft Sans Serif" w:cs="Microsoft Sans Serif"/>
          <w:color w:val="1F497D" w:themeColor="text2"/>
          <w:sz w:val="24"/>
          <w:szCs w:val="20"/>
        </w:rPr>
        <w:t>; Business Studies at Kingston University</w:t>
      </w:r>
    </w:p>
    <w:sectPr w:rsidR="00B32AB1" w:rsidRPr="002C3CC4" w:rsidSect="00DD5292">
      <w:headerReference w:type="default" r:id="rId8"/>
      <w:type w:val="continuous"/>
      <w:pgSz w:w="11909" w:h="16834" w:code="9"/>
      <w:pgMar w:top="2160" w:right="1277" w:bottom="25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17" w:rsidRDefault="00913817">
      <w:r>
        <w:separator/>
      </w:r>
    </w:p>
  </w:endnote>
  <w:endnote w:type="continuationSeparator" w:id="0">
    <w:p w:rsidR="00913817" w:rsidRDefault="0091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17" w:rsidRDefault="00913817">
      <w:r>
        <w:separator/>
      </w:r>
    </w:p>
  </w:footnote>
  <w:footnote w:type="continuationSeparator" w:id="0">
    <w:p w:rsidR="00913817" w:rsidRDefault="0091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794" w:rsidRDefault="00190794" w:rsidP="00190794">
    <w:pPr>
      <w:jc w:val="center"/>
      <w:rPr>
        <w:sz w:val="28"/>
      </w:rPr>
    </w:pPr>
  </w:p>
  <w:p w:rsidR="00190794" w:rsidRDefault="008F2374" w:rsidP="00190794">
    <w:pPr>
      <w:jc w:val="center"/>
      <w:rPr>
        <w:sz w:val="28"/>
      </w:rPr>
    </w:pPr>
    <w:r w:rsidRPr="008F2374">
      <w:rPr>
        <w:sz w:val="28"/>
      </w:rPr>
      <w:t>Curriculum Vitae</w:t>
    </w:r>
  </w:p>
  <w:p w:rsidR="008F2374" w:rsidRPr="00190794" w:rsidRDefault="008F2374" w:rsidP="00190794">
    <w:pPr>
      <w:jc w:val="center"/>
      <w:rPr>
        <w:sz w:val="28"/>
      </w:rPr>
    </w:pPr>
    <w:r>
      <w:rPr>
        <w:b/>
        <w:sz w:val="32"/>
      </w:rPr>
      <w:t>Elesh Khakhar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0C89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0C5EB0"/>
    <w:multiLevelType w:val="hybridMultilevel"/>
    <w:tmpl w:val="91CC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23B48"/>
    <w:multiLevelType w:val="hybridMultilevel"/>
    <w:tmpl w:val="EEDC0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44CA9"/>
    <w:multiLevelType w:val="hybridMultilevel"/>
    <w:tmpl w:val="58A05F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DC0844"/>
    <w:multiLevelType w:val="hybridMultilevel"/>
    <w:tmpl w:val="7B7C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961F9"/>
    <w:multiLevelType w:val="hybridMultilevel"/>
    <w:tmpl w:val="9084C5E6"/>
    <w:lvl w:ilvl="0" w:tplc="F9C836E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95022"/>
    <w:multiLevelType w:val="hybridMultilevel"/>
    <w:tmpl w:val="CEA6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e52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A"/>
    <w:rsid w:val="00002991"/>
    <w:rsid w:val="00002A52"/>
    <w:rsid w:val="000122E2"/>
    <w:rsid w:val="000252B3"/>
    <w:rsid w:val="00042616"/>
    <w:rsid w:val="000458C5"/>
    <w:rsid w:val="0005000F"/>
    <w:rsid w:val="00060953"/>
    <w:rsid w:val="00072FB0"/>
    <w:rsid w:val="00080F87"/>
    <w:rsid w:val="0008382C"/>
    <w:rsid w:val="000B028B"/>
    <w:rsid w:val="000B04B7"/>
    <w:rsid w:val="000B6BD2"/>
    <w:rsid w:val="000C1840"/>
    <w:rsid w:val="000C3830"/>
    <w:rsid w:val="000D164A"/>
    <w:rsid w:val="00112EA1"/>
    <w:rsid w:val="00120526"/>
    <w:rsid w:val="001521CA"/>
    <w:rsid w:val="001643E2"/>
    <w:rsid w:val="00166081"/>
    <w:rsid w:val="001828AF"/>
    <w:rsid w:val="0018292C"/>
    <w:rsid w:val="00190794"/>
    <w:rsid w:val="00192CBD"/>
    <w:rsid w:val="00195255"/>
    <w:rsid w:val="001B1492"/>
    <w:rsid w:val="001C68AF"/>
    <w:rsid w:val="001C776D"/>
    <w:rsid w:val="001D5B06"/>
    <w:rsid w:val="001E0F77"/>
    <w:rsid w:val="001E21A9"/>
    <w:rsid w:val="001E272B"/>
    <w:rsid w:val="001E624A"/>
    <w:rsid w:val="002059DF"/>
    <w:rsid w:val="00212A67"/>
    <w:rsid w:val="00221DAD"/>
    <w:rsid w:val="00241947"/>
    <w:rsid w:val="00244538"/>
    <w:rsid w:val="00246C67"/>
    <w:rsid w:val="00273CDF"/>
    <w:rsid w:val="00276FFF"/>
    <w:rsid w:val="0028350E"/>
    <w:rsid w:val="002C3CC4"/>
    <w:rsid w:val="002E6434"/>
    <w:rsid w:val="002E7242"/>
    <w:rsid w:val="002F4DBF"/>
    <w:rsid w:val="00310CD7"/>
    <w:rsid w:val="00315D2F"/>
    <w:rsid w:val="003162EE"/>
    <w:rsid w:val="0032140C"/>
    <w:rsid w:val="003254F9"/>
    <w:rsid w:val="00335362"/>
    <w:rsid w:val="00356E87"/>
    <w:rsid w:val="00366960"/>
    <w:rsid w:val="003714B1"/>
    <w:rsid w:val="0037283A"/>
    <w:rsid w:val="00386CBA"/>
    <w:rsid w:val="00386F34"/>
    <w:rsid w:val="003953A3"/>
    <w:rsid w:val="003A5C3A"/>
    <w:rsid w:val="003B58B6"/>
    <w:rsid w:val="003C68F9"/>
    <w:rsid w:val="003D03E2"/>
    <w:rsid w:val="003E3394"/>
    <w:rsid w:val="003F0641"/>
    <w:rsid w:val="003F2A91"/>
    <w:rsid w:val="003F3FB5"/>
    <w:rsid w:val="003F7F9C"/>
    <w:rsid w:val="00404CAF"/>
    <w:rsid w:val="004155FC"/>
    <w:rsid w:val="00423B97"/>
    <w:rsid w:val="0042547B"/>
    <w:rsid w:val="00425EC2"/>
    <w:rsid w:val="00455CAA"/>
    <w:rsid w:val="00460120"/>
    <w:rsid w:val="00470C9E"/>
    <w:rsid w:val="004714EE"/>
    <w:rsid w:val="00477DFE"/>
    <w:rsid w:val="004811BA"/>
    <w:rsid w:val="004C1E28"/>
    <w:rsid w:val="004E46BC"/>
    <w:rsid w:val="004F79D4"/>
    <w:rsid w:val="00520389"/>
    <w:rsid w:val="00524F3E"/>
    <w:rsid w:val="00524FCF"/>
    <w:rsid w:val="0054187B"/>
    <w:rsid w:val="00542B8E"/>
    <w:rsid w:val="0057102C"/>
    <w:rsid w:val="005966E8"/>
    <w:rsid w:val="005A3A1C"/>
    <w:rsid w:val="005B27D2"/>
    <w:rsid w:val="005C7BC5"/>
    <w:rsid w:val="005D1A3F"/>
    <w:rsid w:val="005D2F23"/>
    <w:rsid w:val="006008DF"/>
    <w:rsid w:val="0062459B"/>
    <w:rsid w:val="00630810"/>
    <w:rsid w:val="00650730"/>
    <w:rsid w:val="00655CBD"/>
    <w:rsid w:val="0067179E"/>
    <w:rsid w:val="00672AB0"/>
    <w:rsid w:val="006733B4"/>
    <w:rsid w:val="00676E50"/>
    <w:rsid w:val="006834C1"/>
    <w:rsid w:val="00685911"/>
    <w:rsid w:val="006976D3"/>
    <w:rsid w:val="006B2C55"/>
    <w:rsid w:val="006C0758"/>
    <w:rsid w:val="006E3908"/>
    <w:rsid w:val="006E7BD3"/>
    <w:rsid w:val="007022D8"/>
    <w:rsid w:val="00705044"/>
    <w:rsid w:val="0070703B"/>
    <w:rsid w:val="00707F7A"/>
    <w:rsid w:val="0071109F"/>
    <w:rsid w:val="00722148"/>
    <w:rsid w:val="007261E7"/>
    <w:rsid w:val="00764320"/>
    <w:rsid w:val="00772AAB"/>
    <w:rsid w:val="0077540D"/>
    <w:rsid w:val="0079756B"/>
    <w:rsid w:val="007B2337"/>
    <w:rsid w:val="007B37A8"/>
    <w:rsid w:val="007B7F43"/>
    <w:rsid w:val="007F27F1"/>
    <w:rsid w:val="0084796F"/>
    <w:rsid w:val="00853B70"/>
    <w:rsid w:val="0085798C"/>
    <w:rsid w:val="00857BBC"/>
    <w:rsid w:val="008714E7"/>
    <w:rsid w:val="00891B78"/>
    <w:rsid w:val="008A4225"/>
    <w:rsid w:val="008B6836"/>
    <w:rsid w:val="008D2FD2"/>
    <w:rsid w:val="008D724B"/>
    <w:rsid w:val="008E6354"/>
    <w:rsid w:val="008F2374"/>
    <w:rsid w:val="00904114"/>
    <w:rsid w:val="00913817"/>
    <w:rsid w:val="00944ED0"/>
    <w:rsid w:val="00946045"/>
    <w:rsid w:val="00956786"/>
    <w:rsid w:val="0096163A"/>
    <w:rsid w:val="0098530E"/>
    <w:rsid w:val="00992E6A"/>
    <w:rsid w:val="00996974"/>
    <w:rsid w:val="009B43B1"/>
    <w:rsid w:val="009C2005"/>
    <w:rsid w:val="009C4310"/>
    <w:rsid w:val="009D7626"/>
    <w:rsid w:val="009E09FB"/>
    <w:rsid w:val="00A02DEF"/>
    <w:rsid w:val="00A10E45"/>
    <w:rsid w:val="00A1239B"/>
    <w:rsid w:val="00A12FE2"/>
    <w:rsid w:val="00A17AD1"/>
    <w:rsid w:val="00A55822"/>
    <w:rsid w:val="00A57678"/>
    <w:rsid w:val="00A8014E"/>
    <w:rsid w:val="00A92BFF"/>
    <w:rsid w:val="00AA67D4"/>
    <w:rsid w:val="00AB149A"/>
    <w:rsid w:val="00AB3863"/>
    <w:rsid w:val="00AC17E2"/>
    <w:rsid w:val="00AC34FA"/>
    <w:rsid w:val="00AE4F0F"/>
    <w:rsid w:val="00AF7CB8"/>
    <w:rsid w:val="00B00A63"/>
    <w:rsid w:val="00B036C4"/>
    <w:rsid w:val="00B0479D"/>
    <w:rsid w:val="00B32AB1"/>
    <w:rsid w:val="00B563BE"/>
    <w:rsid w:val="00B615F0"/>
    <w:rsid w:val="00B667C1"/>
    <w:rsid w:val="00B7635D"/>
    <w:rsid w:val="00B773FD"/>
    <w:rsid w:val="00B83526"/>
    <w:rsid w:val="00B85B80"/>
    <w:rsid w:val="00B935B6"/>
    <w:rsid w:val="00BB6322"/>
    <w:rsid w:val="00BC5612"/>
    <w:rsid w:val="00BE0319"/>
    <w:rsid w:val="00BE4567"/>
    <w:rsid w:val="00BE5B34"/>
    <w:rsid w:val="00BF484A"/>
    <w:rsid w:val="00BF5724"/>
    <w:rsid w:val="00C11742"/>
    <w:rsid w:val="00C17F5F"/>
    <w:rsid w:val="00C35B79"/>
    <w:rsid w:val="00C67C6C"/>
    <w:rsid w:val="00C73684"/>
    <w:rsid w:val="00C83991"/>
    <w:rsid w:val="00C839C6"/>
    <w:rsid w:val="00C851EA"/>
    <w:rsid w:val="00CA3B84"/>
    <w:rsid w:val="00CB238A"/>
    <w:rsid w:val="00CC1F06"/>
    <w:rsid w:val="00CC5F49"/>
    <w:rsid w:val="00CD2BA1"/>
    <w:rsid w:val="00CE2F89"/>
    <w:rsid w:val="00CE47D3"/>
    <w:rsid w:val="00CF799C"/>
    <w:rsid w:val="00D0198A"/>
    <w:rsid w:val="00D01A4A"/>
    <w:rsid w:val="00D13B16"/>
    <w:rsid w:val="00D15CBF"/>
    <w:rsid w:val="00D2011A"/>
    <w:rsid w:val="00D233B3"/>
    <w:rsid w:val="00D244C8"/>
    <w:rsid w:val="00D26421"/>
    <w:rsid w:val="00D301E2"/>
    <w:rsid w:val="00D415D1"/>
    <w:rsid w:val="00D41FC1"/>
    <w:rsid w:val="00D446EA"/>
    <w:rsid w:val="00D51FA8"/>
    <w:rsid w:val="00D52E15"/>
    <w:rsid w:val="00D55E1F"/>
    <w:rsid w:val="00D60D29"/>
    <w:rsid w:val="00D632AA"/>
    <w:rsid w:val="00D92B68"/>
    <w:rsid w:val="00D932ED"/>
    <w:rsid w:val="00DA0D44"/>
    <w:rsid w:val="00DA1AB9"/>
    <w:rsid w:val="00DA33E6"/>
    <w:rsid w:val="00DA4CB1"/>
    <w:rsid w:val="00DC3A26"/>
    <w:rsid w:val="00DC4C36"/>
    <w:rsid w:val="00DD5292"/>
    <w:rsid w:val="00DF28B7"/>
    <w:rsid w:val="00E23964"/>
    <w:rsid w:val="00E56BED"/>
    <w:rsid w:val="00E826DB"/>
    <w:rsid w:val="00E85C0D"/>
    <w:rsid w:val="00E93C81"/>
    <w:rsid w:val="00EA44B3"/>
    <w:rsid w:val="00EE044E"/>
    <w:rsid w:val="00EE4F19"/>
    <w:rsid w:val="00EF17A0"/>
    <w:rsid w:val="00F058BB"/>
    <w:rsid w:val="00F26B4C"/>
    <w:rsid w:val="00F3564F"/>
    <w:rsid w:val="00F41FE3"/>
    <w:rsid w:val="00F5208E"/>
    <w:rsid w:val="00F53124"/>
    <w:rsid w:val="00F64017"/>
    <w:rsid w:val="00F77D2C"/>
    <w:rsid w:val="00F87A3E"/>
    <w:rsid w:val="00F94F27"/>
    <w:rsid w:val="00F950A1"/>
    <w:rsid w:val="00FA351E"/>
    <w:rsid w:val="00FB4E28"/>
    <w:rsid w:val="00FD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52d5"/>
    </o:shapedefaults>
    <o:shapelayout v:ext="edit">
      <o:idmap v:ext="edit" data="1"/>
    </o:shapelayout>
  </w:shapeDefaults>
  <w:decimalSymbol w:val="."/>
  <w:listSeparator w:val=","/>
  <w15:docId w15:val="{91FAF71C-CDF4-4E98-A529-232DB6E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54"/>
    <w:rPr>
      <w:rFonts w:ascii="Arial" w:hAnsi="Arial"/>
      <w:lang w:val="en-US" w:eastAsia="en-US"/>
    </w:rPr>
  </w:style>
  <w:style w:type="paragraph" w:styleId="Heading1">
    <w:name w:val="heading 1"/>
    <w:basedOn w:val="Normal"/>
    <w:next w:val="Normal"/>
    <w:link w:val="Heading1Char"/>
    <w:qFormat/>
    <w:rsid w:val="00335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F2374"/>
    <w:pPr>
      <w:keepNext/>
      <w:outlineLvl w:val="2"/>
    </w:pPr>
    <w:rPr>
      <w:rFonts w:ascii="Times New Roman" w:hAnsi="Times New Roman"/>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8A4225"/>
    <w:pPr>
      <w:tabs>
        <w:tab w:val="center" w:pos="4320"/>
        <w:tab w:val="right" w:pos="8640"/>
      </w:tabs>
    </w:pPr>
  </w:style>
  <w:style w:type="paragraph" w:styleId="Footer">
    <w:name w:val="footer"/>
    <w:basedOn w:val="Normal"/>
    <w:rsid w:val="008E6354"/>
    <w:pPr>
      <w:tabs>
        <w:tab w:val="center" w:pos="4320"/>
        <w:tab w:val="right" w:pos="8640"/>
      </w:tabs>
    </w:pPr>
  </w:style>
  <w:style w:type="character" w:styleId="Hyperlink">
    <w:name w:val="Hyperlink"/>
    <w:basedOn w:val="DefaultParagraphFont"/>
    <w:rsid w:val="008E6354"/>
    <w:rPr>
      <w:color w:val="0000FF"/>
      <w:u w:val="single"/>
    </w:rPr>
  </w:style>
  <w:style w:type="paragraph" w:styleId="ListBullet">
    <w:name w:val="List Bullet"/>
    <w:basedOn w:val="Normal"/>
    <w:rsid w:val="002E7242"/>
    <w:pPr>
      <w:numPr>
        <w:numId w:val="1"/>
      </w:numPr>
    </w:pPr>
  </w:style>
  <w:style w:type="character" w:customStyle="1" w:styleId="header1">
    <w:name w:val="header1"/>
    <w:basedOn w:val="DefaultParagraphFont"/>
    <w:rsid w:val="00EA44B3"/>
    <w:rPr>
      <w:rFonts w:ascii="Arial" w:hAnsi="Arial" w:cs="Arial" w:hint="default"/>
      <w:color w:val="707C62"/>
      <w:sz w:val="36"/>
      <w:szCs w:val="36"/>
    </w:rPr>
  </w:style>
  <w:style w:type="paragraph" w:styleId="NormalWeb">
    <w:name w:val="Normal (Web)"/>
    <w:basedOn w:val="Normal"/>
    <w:rsid w:val="00EA44B3"/>
    <w:pPr>
      <w:spacing w:before="100" w:beforeAutospacing="1" w:after="100" w:afterAutospacing="1"/>
    </w:pPr>
    <w:rPr>
      <w:rFonts w:ascii="Times New Roman" w:hAnsi="Times New Roman"/>
      <w:sz w:val="24"/>
      <w:szCs w:val="24"/>
    </w:rPr>
  </w:style>
  <w:style w:type="character" w:customStyle="1" w:styleId="copy1">
    <w:name w:val="copy1"/>
    <w:basedOn w:val="DefaultParagraphFont"/>
    <w:rsid w:val="00EA44B3"/>
    <w:rPr>
      <w:rFonts w:ascii="Arial" w:hAnsi="Arial" w:cs="Arial" w:hint="default"/>
      <w:color w:val="000000"/>
      <w:sz w:val="17"/>
      <w:szCs w:val="17"/>
    </w:rPr>
  </w:style>
  <w:style w:type="paragraph" w:styleId="DocumentMap">
    <w:name w:val="Document Map"/>
    <w:basedOn w:val="Normal"/>
    <w:semiHidden/>
    <w:rsid w:val="007B7F43"/>
    <w:pPr>
      <w:shd w:val="clear" w:color="auto" w:fill="000080"/>
    </w:pPr>
    <w:rPr>
      <w:rFonts w:ascii="Tahoma" w:hAnsi="Tahoma" w:cs="Tahoma"/>
    </w:rPr>
  </w:style>
  <w:style w:type="character" w:styleId="Strong">
    <w:name w:val="Strong"/>
    <w:basedOn w:val="DefaultParagraphFont"/>
    <w:qFormat/>
    <w:rsid w:val="00E56BED"/>
    <w:rPr>
      <w:b/>
      <w:bCs/>
    </w:rPr>
  </w:style>
  <w:style w:type="character" w:customStyle="1" w:styleId="Heading3Char">
    <w:name w:val="Heading 3 Char"/>
    <w:basedOn w:val="DefaultParagraphFont"/>
    <w:link w:val="Heading3"/>
    <w:rsid w:val="008F2374"/>
    <w:rPr>
      <w:sz w:val="24"/>
      <w:u w:val="single"/>
      <w:lang w:eastAsia="en-US"/>
    </w:rPr>
  </w:style>
  <w:style w:type="character" w:customStyle="1" w:styleId="Heading1Char">
    <w:name w:val="Heading 1 Char"/>
    <w:basedOn w:val="DefaultParagraphFont"/>
    <w:link w:val="Heading1"/>
    <w:rsid w:val="003353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335362"/>
    <w:pPr>
      <w:pBdr>
        <w:top w:val="double" w:sz="6" w:space="1" w:color="auto"/>
        <w:left w:val="double" w:sz="6" w:space="1" w:color="auto"/>
        <w:bottom w:val="double" w:sz="6" w:space="1" w:color="auto"/>
        <w:right w:val="double" w:sz="6" w:space="1" w:color="auto"/>
      </w:pBdr>
    </w:pPr>
    <w:rPr>
      <w:rFonts w:ascii="Times New Roman" w:hAnsi="Times New Roman"/>
      <w:lang w:val="en-GB"/>
    </w:rPr>
  </w:style>
  <w:style w:type="character" w:customStyle="1" w:styleId="BodyTextChar">
    <w:name w:val="Body Text Char"/>
    <w:basedOn w:val="DefaultParagraphFont"/>
    <w:link w:val="BodyText"/>
    <w:rsid w:val="00335362"/>
    <w:rPr>
      <w:lang w:eastAsia="en-US"/>
    </w:rPr>
  </w:style>
  <w:style w:type="paragraph" w:styleId="ListParagraph">
    <w:name w:val="List Paragraph"/>
    <w:basedOn w:val="Normal"/>
    <w:uiPriority w:val="34"/>
    <w:qFormat/>
    <w:rsid w:val="00335362"/>
    <w:pPr>
      <w:ind w:left="720"/>
      <w:contextualSpacing/>
    </w:pPr>
  </w:style>
  <w:style w:type="paragraph" w:styleId="BalloonText">
    <w:name w:val="Balloon Text"/>
    <w:basedOn w:val="Normal"/>
    <w:link w:val="BalloonTextChar"/>
    <w:rsid w:val="006E3908"/>
    <w:rPr>
      <w:rFonts w:ascii="Tahoma" w:hAnsi="Tahoma" w:cs="Tahoma"/>
      <w:sz w:val="16"/>
      <w:szCs w:val="16"/>
    </w:rPr>
  </w:style>
  <w:style w:type="character" w:customStyle="1" w:styleId="BalloonTextChar">
    <w:name w:val="Balloon Text Char"/>
    <w:basedOn w:val="DefaultParagraphFont"/>
    <w:link w:val="BalloonText"/>
    <w:rsid w:val="006E39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219">
      <w:bodyDiv w:val="1"/>
      <w:marLeft w:val="0"/>
      <w:marRight w:val="0"/>
      <w:marTop w:val="0"/>
      <w:marBottom w:val="0"/>
      <w:divBdr>
        <w:top w:val="none" w:sz="0" w:space="0" w:color="auto"/>
        <w:left w:val="none" w:sz="0" w:space="0" w:color="auto"/>
        <w:bottom w:val="none" w:sz="0" w:space="0" w:color="auto"/>
        <w:right w:val="none" w:sz="0" w:space="0" w:color="auto"/>
      </w:divBdr>
      <w:divsChild>
        <w:div w:id="1418594555">
          <w:marLeft w:val="0"/>
          <w:marRight w:val="0"/>
          <w:marTop w:val="0"/>
          <w:marBottom w:val="0"/>
          <w:divBdr>
            <w:top w:val="none" w:sz="0" w:space="0" w:color="auto"/>
            <w:left w:val="none" w:sz="0" w:space="0" w:color="auto"/>
            <w:bottom w:val="none" w:sz="0" w:space="0" w:color="auto"/>
            <w:right w:val="none" w:sz="0" w:space="0" w:color="auto"/>
          </w:divBdr>
          <w:divsChild>
            <w:div w:id="261571527">
              <w:marLeft w:val="0"/>
              <w:marRight w:val="0"/>
              <w:marTop w:val="0"/>
              <w:marBottom w:val="0"/>
              <w:divBdr>
                <w:top w:val="none" w:sz="0" w:space="0" w:color="auto"/>
                <w:left w:val="none" w:sz="0" w:space="0" w:color="auto"/>
                <w:bottom w:val="none" w:sz="0" w:space="0" w:color="auto"/>
                <w:right w:val="none" w:sz="0" w:space="0" w:color="auto"/>
              </w:divBdr>
            </w:div>
            <w:div w:id="955017276">
              <w:marLeft w:val="0"/>
              <w:marRight w:val="0"/>
              <w:marTop w:val="0"/>
              <w:marBottom w:val="0"/>
              <w:divBdr>
                <w:top w:val="none" w:sz="0" w:space="0" w:color="auto"/>
                <w:left w:val="none" w:sz="0" w:space="0" w:color="auto"/>
                <w:bottom w:val="none" w:sz="0" w:space="0" w:color="auto"/>
                <w:right w:val="none" w:sz="0" w:space="0" w:color="auto"/>
              </w:divBdr>
            </w:div>
            <w:div w:id="1355813481">
              <w:marLeft w:val="0"/>
              <w:marRight w:val="0"/>
              <w:marTop w:val="0"/>
              <w:marBottom w:val="0"/>
              <w:divBdr>
                <w:top w:val="none" w:sz="0" w:space="0" w:color="auto"/>
                <w:left w:val="none" w:sz="0" w:space="0" w:color="auto"/>
                <w:bottom w:val="none" w:sz="0" w:space="0" w:color="auto"/>
                <w:right w:val="none" w:sz="0" w:space="0" w:color="auto"/>
              </w:divBdr>
            </w:div>
            <w:div w:id="1559710105">
              <w:marLeft w:val="0"/>
              <w:marRight w:val="0"/>
              <w:marTop w:val="0"/>
              <w:marBottom w:val="0"/>
              <w:divBdr>
                <w:top w:val="none" w:sz="0" w:space="0" w:color="auto"/>
                <w:left w:val="none" w:sz="0" w:space="0" w:color="auto"/>
                <w:bottom w:val="none" w:sz="0" w:space="0" w:color="auto"/>
                <w:right w:val="none" w:sz="0" w:space="0" w:color="auto"/>
              </w:divBdr>
            </w:div>
            <w:div w:id="20253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1857">
      <w:bodyDiv w:val="1"/>
      <w:marLeft w:val="0"/>
      <w:marRight w:val="0"/>
      <w:marTop w:val="0"/>
      <w:marBottom w:val="0"/>
      <w:divBdr>
        <w:top w:val="none" w:sz="0" w:space="0" w:color="auto"/>
        <w:left w:val="none" w:sz="0" w:space="0" w:color="auto"/>
        <w:bottom w:val="none" w:sz="0" w:space="0" w:color="auto"/>
        <w:right w:val="none" w:sz="0" w:space="0" w:color="auto"/>
      </w:divBdr>
      <w:divsChild>
        <w:div w:id="387610790">
          <w:marLeft w:val="0"/>
          <w:marRight w:val="0"/>
          <w:marTop w:val="0"/>
          <w:marBottom w:val="0"/>
          <w:divBdr>
            <w:top w:val="none" w:sz="0" w:space="0" w:color="auto"/>
            <w:left w:val="none" w:sz="0" w:space="0" w:color="auto"/>
            <w:bottom w:val="none" w:sz="0" w:space="0" w:color="auto"/>
            <w:right w:val="none" w:sz="0" w:space="0" w:color="auto"/>
          </w:divBdr>
          <w:divsChild>
            <w:div w:id="197132579">
              <w:marLeft w:val="0"/>
              <w:marRight w:val="0"/>
              <w:marTop w:val="0"/>
              <w:marBottom w:val="0"/>
              <w:divBdr>
                <w:top w:val="none" w:sz="0" w:space="0" w:color="auto"/>
                <w:left w:val="none" w:sz="0" w:space="0" w:color="auto"/>
                <w:bottom w:val="none" w:sz="0" w:space="0" w:color="auto"/>
                <w:right w:val="none" w:sz="0" w:space="0" w:color="auto"/>
              </w:divBdr>
            </w:div>
            <w:div w:id="255986064">
              <w:marLeft w:val="0"/>
              <w:marRight w:val="0"/>
              <w:marTop w:val="0"/>
              <w:marBottom w:val="0"/>
              <w:divBdr>
                <w:top w:val="none" w:sz="0" w:space="0" w:color="auto"/>
                <w:left w:val="none" w:sz="0" w:space="0" w:color="auto"/>
                <w:bottom w:val="none" w:sz="0" w:space="0" w:color="auto"/>
                <w:right w:val="none" w:sz="0" w:space="0" w:color="auto"/>
              </w:divBdr>
            </w:div>
            <w:div w:id="402264685">
              <w:marLeft w:val="0"/>
              <w:marRight w:val="0"/>
              <w:marTop w:val="0"/>
              <w:marBottom w:val="0"/>
              <w:divBdr>
                <w:top w:val="none" w:sz="0" w:space="0" w:color="auto"/>
                <w:left w:val="none" w:sz="0" w:space="0" w:color="auto"/>
                <w:bottom w:val="none" w:sz="0" w:space="0" w:color="auto"/>
                <w:right w:val="none" w:sz="0" w:space="0" w:color="auto"/>
              </w:divBdr>
            </w:div>
            <w:div w:id="809790053">
              <w:marLeft w:val="0"/>
              <w:marRight w:val="0"/>
              <w:marTop w:val="0"/>
              <w:marBottom w:val="0"/>
              <w:divBdr>
                <w:top w:val="none" w:sz="0" w:space="0" w:color="auto"/>
                <w:left w:val="none" w:sz="0" w:space="0" w:color="auto"/>
                <w:bottom w:val="none" w:sz="0" w:space="0" w:color="auto"/>
                <w:right w:val="none" w:sz="0" w:space="0" w:color="auto"/>
              </w:divBdr>
            </w:div>
            <w:div w:id="1261797024">
              <w:marLeft w:val="0"/>
              <w:marRight w:val="0"/>
              <w:marTop w:val="0"/>
              <w:marBottom w:val="0"/>
              <w:divBdr>
                <w:top w:val="none" w:sz="0" w:space="0" w:color="auto"/>
                <w:left w:val="none" w:sz="0" w:space="0" w:color="auto"/>
                <w:bottom w:val="none" w:sz="0" w:space="0" w:color="auto"/>
                <w:right w:val="none" w:sz="0" w:space="0" w:color="auto"/>
              </w:divBdr>
            </w:div>
            <w:div w:id="1695423357">
              <w:marLeft w:val="0"/>
              <w:marRight w:val="0"/>
              <w:marTop w:val="0"/>
              <w:marBottom w:val="0"/>
              <w:divBdr>
                <w:top w:val="none" w:sz="0" w:space="0" w:color="auto"/>
                <w:left w:val="none" w:sz="0" w:space="0" w:color="auto"/>
                <w:bottom w:val="none" w:sz="0" w:space="0" w:color="auto"/>
                <w:right w:val="none" w:sz="0" w:space="0" w:color="auto"/>
              </w:divBdr>
            </w:div>
            <w:div w:id="1792549781">
              <w:marLeft w:val="0"/>
              <w:marRight w:val="0"/>
              <w:marTop w:val="0"/>
              <w:marBottom w:val="0"/>
              <w:divBdr>
                <w:top w:val="none" w:sz="0" w:space="0" w:color="auto"/>
                <w:left w:val="none" w:sz="0" w:space="0" w:color="auto"/>
                <w:bottom w:val="none" w:sz="0" w:space="0" w:color="auto"/>
                <w:right w:val="none" w:sz="0" w:space="0" w:color="auto"/>
              </w:divBdr>
            </w:div>
            <w:div w:id="1816871104">
              <w:marLeft w:val="0"/>
              <w:marRight w:val="0"/>
              <w:marTop w:val="0"/>
              <w:marBottom w:val="0"/>
              <w:divBdr>
                <w:top w:val="none" w:sz="0" w:space="0" w:color="auto"/>
                <w:left w:val="none" w:sz="0" w:space="0" w:color="auto"/>
                <w:bottom w:val="none" w:sz="0" w:space="0" w:color="auto"/>
                <w:right w:val="none" w:sz="0" w:space="0" w:color="auto"/>
              </w:divBdr>
            </w:div>
            <w:div w:id="1949046082">
              <w:marLeft w:val="0"/>
              <w:marRight w:val="0"/>
              <w:marTop w:val="0"/>
              <w:marBottom w:val="0"/>
              <w:divBdr>
                <w:top w:val="none" w:sz="0" w:space="0" w:color="auto"/>
                <w:left w:val="none" w:sz="0" w:space="0" w:color="auto"/>
                <w:bottom w:val="none" w:sz="0" w:space="0" w:color="auto"/>
                <w:right w:val="none" w:sz="0" w:space="0" w:color="auto"/>
              </w:divBdr>
            </w:div>
            <w:div w:id="2037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002">
      <w:bodyDiv w:val="1"/>
      <w:marLeft w:val="0"/>
      <w:marRight w:val="0"/>
      <w:marTop w:val="0"/>
      <w:marBottom w:val="0"/>
      <w:divBdr>
        <w:top w:val="none" w:sz="0" w:space="0" w:color="auto"/>
        <w:left w:val="none" w:sz="0" w:space="0" w:color="auto"/>
        <w:bottom w:val="none" w:sz="0" w:space="0" w:color="auto"/>
        <w:right w:val="none" w:sz="0" w:space="0" w:color="auto"/>
      </w:divBdr>
      <w:divsChild>
        <w:div w:id="925966317">
          <w:marLeft w:val="0"/>
          <w:marRight w:val="0"/>
          <w:marTop w:val="0"/>
          <w:marBottom w:val="0"/>
          <w:divBdr>
            <w:top w:val="none" w:sz="0" w:space="0" w:color="auto"/>
            <w:left w:val="none" w:sz="0" w:space="0" w:color="auto"/>
            <w:bottom w:val="none" w:sz="0" w:space="0" w:color="auto"/>
            <w:right w:val="none" w:sz="0" w:space="0" w:color="auto"/>
          </w:divBdr>
          <w:divsChild>
            <w:div w:id="363940757">
              <w:marLeft w:val="0"/>
              <w:marRight w:val="0"/>
              <w:marTop w:val="0"/>
              <w:marBottom w:val="0"/>
              <w:divBdr>
                <w:top w:val="none" w:sz="0" w:space="0" w:color="auto"/>
                <w:left w:val="none" w:sz="0" w:space="0" w:color="auto"/>
                <w:bottom w:val="none" w:sz="0" w:space="0" w:color="auto"/>
                <w:right w:val="none" w:sz="0" w:space="0" w:color="auto"/>
              </w:divBdr>
            </w:div>
            <w:div w:id="761725326">
              <w:marLeft w:val="0"/>
              <w:marRight w:val="0"/>
              <w:marTop w:val="0"/>
              <w:marBottom w:val="0"/>
              <w:divBdr>
                <w:top w:val="none" w:sz="0" w:space="0" w:color="auto"/>
                <w:left w:val="none" w:sz="0" w:space="0" w:color="auto"/>
                <w:bottom w:val="none" w:sz="0" w:space="0" w:color="auto"/>
                <w:right w:val="none" w:sz="0" w:space="0" w:color="auto"/>
              </w:divBdr>
            </w:div>
            <w:div w:id="805127687">
              <w:marLeft w:val="0"/>
              <w:marRight w:val="0"/>
              <w:marTop w:val="0"/>
              <w:marBottom w:val="0"/>
              <w:divBdr>
                <w:top w:val="none" w:sz="0" w:space="0" w:color="auto"/>
                <w:left w:val="none" w:sz="0" w:space="0" w:color="auto"/>
                <w:bottom w:val="none" w:sz="0" w:space="0" w:color="auto"/>
                <w:right w:val="none" w:sz="0" w:space="0" w:color="auto"/>
              </w:divBdr>
            </w:div>
            <w:div w:id="913900780">
              <w:marLeft w:val="0"/>
              <w:marRight w:val="0"/>
              <w:marTop w:val="0"/>
              <w:marBottom w:val="0"/>
              <w:divBdr>
                <w:top w:val="none" w:sz="0" w:space="0" w:color="auto"/>
                <w:left w:val="none" w:sz="0" w:space="0" w:color="auto"/>
                <w:bottom w:val="none" w:sz="0" w:space="0" w:color="auto"/>
                <w:right w:val="none" w:sz="0" w:space="0" w:color="auto"/>
              </w:divBdr>
            </w:div>
            <w:div w:id="14785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is the title</vt:lpstr>
    </vt:vector>
  </TitlesOfParts>
  <Company>TPI</Company>
  <LinksUpToDate>false</LinksUpToDate>
  <CharactersWithSpaces>6205</CharactersWithSpaces>
  <SharedDoc>false</SharedDoc>
  <HLinks>
    <vt:vector size="6" baseType="variant">
      <vt:variant>
        <vt:i4>2883691</vt:i4>
      </vt:variant>
      <vt:variant>
        <vt:i4>6</vt:i4>
      </vt:variant>
      <vt:variant>
        <vt:i4>0</vt:i4>
      </vt:variant>
      <vt:variant>
        <vt:i4>5</vt:i4>
      </vt:variant>
      <vt:variant>
        <vt:lpwstr>http://www.tpi.net/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This is the subject</dc:subject>
  <dc:creator>this is the author</dc:creator>
  <cp:keywords>this is the keywords</cp:keywords>
  <dc:description>this is the comments</dc:description>
  <cp:lastModifiedBy>Elesh khakhar</cp:lastModifiedBy>
  <cp:revision>6</cp:revision>
  <cp:lastPrinted>2015-07-14T12:53:00Z</cp:lastPrinted>
  <dcterms:created xsi:type="dcterms:W3CDTF">2015-06-25T15:42:00Z</dcterms:created>
  <dcterms:modified xsi:type="dcterms:W3CDTF">2015-08-18T15:55:00Z</dcterms:modified>
  <cp:category>this is category</cp:category>
</cp:coreProperties>
</file>